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7762667f04184357860c74f0caa90717_7">
        <w:r>
          <w:rPr>
            <w:rStyle w:val="InternetLink"/>
            <w:rFonts w:ascii="Times New Roman;serif" w:hAnsi="Times New Roman;serif"/>
            <w:b w:val="false"/>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 </w:t>
      </w:r>
    </w:p>
    <w:p>
      <w:pPr>
        <w:pStyle w:val="TextBody"/>
        <w:bidi w:val="0"/>
        <w:spacing w:lineRule="auto" w:line="288" w:before="100" w:after="283"/>
        <w:jc w:val="center"/>
        <w:rPr>
          <w:rFonts w:ascii="Times New Roman;serif" w:hAnsi="Times New Roman;serif"/>
          <w:b/>
          <w:color w:val="000000"/>
          <w:sz w:val="36"/>
        </w:rPr>
      </w:pPr>
      <w:r>
        <w:rPr>
          <w:rFonts w:ascii="Times New Roman;serif" w:hAnsi="Times New Roman;serif"/>
          <w:b/>
          <w:color w:val="000000"/>
          <w:sz w:val="36"/>
        </w:rPr>
        <w:t xml:space="preserve">FORM 10-Q </w:t>
      </w:r>
    </w:p>
    <w:p>
      <w:pPr>
        <w:pStyle w:val="TextBody"/>
        <w:bidi w:val="0"/>
        <w:spacing w:lineRule="auto" w:line="288" w:before="0" w:after="0"/>
        <w:jc w:val="left"/>
        <w:rPr/>
      </w:pPr>
      <w:r>
        <w:rPr>
          <w:color w:val="000000"/>
        </w:rPr>
        <w:t xml:space="preserve">☒ </w:t>
      </w:r>
      <w:r>
        <w:rPr>
          <w:rFonts w:ascii="Times New Roman;serif" w:hAnsi="Times New Roman;serif"/>
          <w:b/>
          <w:color w:val="000000"/>
          <w:sz w:val="20"/>
        </w:rPr>
        <w:t>QUARTERLY REPORT PURSUANT TO SECTION 13 OR 15(d) OF THE SECURITIES EXCHANGE ACT OF 1934</w:t>
      </w:r>
    </w:p>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For the quarterly period ended March 31, 2026 </w:t>
      </w:r>
    </w:p>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OR</w:t>
      </w:r>
    </w:p>
    <w:p>
      <w:pPr>
        <w:pStyle w:val="TextBody"/>
        <w:bidi w:val="0"/>
        <w:spacing w:lineRule="auto" w:line="288" w:before="80" w:after="283"/>
        <w:jc w:val="left"/>
        <w:rPr/>
      </w:pPr>
      <w:r>
        <w:rPr>
          <w:color w:val="000000"/>
        </w:rPr>
        <w:t xml:space="preserve">☐ </w:t>
      </w:r>
      <w:r>
        <w:rPr>
          <w:rFonts w:ascii="Times New Roman;serif" w:hAnsi="Times New Roman;serif"/>
          <w:b/>
          <w:color w:val="000000"/>
          <w:sz w:val="20"/>
        </w:rPr>
        <w:t>TRANSITION REPORT PURSUANT TO SECTION 13 OR 15(d) OF THE SECURITIES EXCHANGE ACT OF 1934</w:t>
      </w:r>
    </w:p>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For the transition period from              to</w:t>
      </w:r>
    </w:p>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Commission file number 001-8966 </w:t>
      </w:r>
    </w:p>
    <w:p>
      <w:pPr>
        <w:pStyle w:val="TextBody"/>
        <w:bidi w:val="0"/>
        <w:spacing w:lineRule="auto" w:line="288" w:before="120" w:after="283"/>
        <w:jc w:val="center"/>
        <w:rPr>
          <w:rFonts w:ascii="Times New Roman;serif" w:hAnsi="Times New Roman;serif"/>
          <w:b/>
          <w:color w:val="000000"/>
          <w:sz w:val="48"/>
        </w:rPr>
      </w:pPr>
      <w:r>
        <w:rPr>
          <w:rFonts w:ascii="Times New Roman;serif" w:hAnsi="Times New Roman;serif"/>
          <w:b/>
          <w:color w:val="000000"/>
          <w:sz w:val="48"/>
        </w:rPr>
        <w:t xml:space="preserve">H2O AMERICA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color w:val="000000"/>
        </w:rPr>
      </w:pPr>
      <w:r>
        <w:rPr>
          <w:color w:val="000000"/>
        </w:rPr>
        <w:t> </w:t>
      </w:r>
    </w:p>
    <w:tbl>
      <w:tblPr>
        <w:tblW w:w="8317" w:type="dxa"/>
        <w:jc w:val="center"/>
        <w:tblInd w:w="0" w:type="dxa"/>
        <w:tblLayout w:type="fixed"/>
        <w:tblCellMar>
          <w:top w:w="28" w:type="dxa"/>
          <w:left w:w="28" w:type="dxa"/>
          <w:bottom w:w="28" w:type="dxa"/>
          <w:right w:w="28" w:type="dxa"/>
        </w:tblCellMar>
      </w:tblPr>
      <w:tblGrid>
        <w:gridCol w:w="617"/>
        <w:gridCol w:w="540"/>
        <w:gridCol w:w="540"/>
        <w:gridCol w:w="540"/>
        <w:gridCol w:w="540"/>
        <w:gridCol w:w="540"/>
        <w:gridCol w:w="540"/>
        <w:gridCol w:w="540"/>
        <w:gridCol w:w="564"/>
        <w:gridCol w:w="109"/>
        <w:gridCol w:w="109"/>
        <w:gridCol w:w="109"/>
        <w:gridCol w:w="884"/>
        <w:gridCol w:w="884"/>
        <w:gridCol w:w="1261"/>
      </w:tblGrid>
      <w:tr>
        <w:trPr/>
        <w:tc>
          <w:tcPr>
            <w:tcW w:w="617"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77-0066628</w:t>
            </w:r>
          </w:p>
        </w:tc>
      </w:tr>
      <w:tr>
        <w:trPr/>
        <w:tc>
          <w:tcPr>
            <w:tcW w:w="49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1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110 West Taylor Street, San Jose, CA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95110</w:t>
            </w:r>
          </w:p>
        </w:tc>
      </w:tr>
      <w:tr>
        <w:trPr/>
        <w:tc>
          <w:tcPr>
            <w:tcW w:w="49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(408) 279-7800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(Former name, former address and former fiscal year, if changed since last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9773" w:type="dxa"/>
        <w:jc w:val="center"/>
        <w:tblInd w:w="0" w:type="dxa"/>
        <w:tblLayout w:type="fixed"/>
        <w:tblCellMar>
          <w:top w:w="28" w:type="dxa"/>
          <w:left w:w="28" w:type="dxa"/>
          <w:bottom w:w="28" w:type="dxa"/>
          <w:right w:w="28" w:type="dxa"/>
        </w:tblCellMar>
      </w:tblPr>
      <w:tblGrid>
        <w:gridCol w:w="1301"/>
        <w:gridCol w:w="1143"/>
        <w:gridCol w:w="1156"/>
        <w:gridCol w:w="109"/>
        <w:gridCol w:w="109"/>
        <w:gridCol w:w="109"/>
        <w:gridCol w:w="564"/>
        <w:gridCol w:w="564"/>
        <w:gridCol w:w="566"/>
        <w:gridCol w:w="109"/>
        <w:gridCol w:w="109"/>
        <w:gridCol w:w="109"/>
        <w:gridCol w:w="1118"/>
        <w:gridCol w:w="1118"/>
        <w:gridCol w:w="1589"/>
      </w:tblGrid>
      <w:tr>
        <w:trPr/>
        <w:tc>
          <w:tcPr>
            <w:tcW w:w="13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0" w:after="0"/>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w:t>
      </w:r>
      <w:r>
        <w:rPr>
          <w:color w:val="333333"/>
        </w:rPr>
        <w:t xml:space="preserve">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20" w:after="283"/>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pStyle w:val="TextBody"/>
        <w:bidi w:val="0"/>
        <w:spacing w:lineRule="auto" w:line="288" w:before="120" w:after="283"/>
        <w:jc w:val="left"/>
        <w:rPr/>
      </w:pPr>
      <w:r>
        <w:rPr>
          <w:color w:val="000000"/>
        </w:rPr>
        <w:t>        </w:t>
      </w:r>
      <w:r>
        <w:rPr>
          <w:rFonts w:ascii="Times New Roman;serif" w:hAnsi="Times New Roman;serif"/>
          <w:b w:val="false"/>
          <w:color w:val="000000"/>
          <w:sz w:val="20"/>
        </w:rPr>
        <w:t>Large accelerated filer  </w:t>
      </w:r>
      <w:r>
        <w:rPr>
          <w:color w:val="000000"/>
        </w:rPr>
        <w:t>☒                </w:t>
      </w:r>
      <w:r>
        <w:rPr>
          <w:rFonts w:ascii="Times New Roman;serif" w:hAnsi="Times New Roman;serif"/>
          <w:b w:val="false"/>
          <w:color w:val="000000"/>
          <w:sz w:val="20"/>
        </w:rPr>
        <w:t>Non-accelerated filer  </w:t>
      </w:r>
      <w:r>
        <w:rPr>
          <w:color w:val="000000"/>
        </w:rPr>
        <w:t>☐    </w:t>
      </w:r>
    </w:p>
    <w:p>
      <w:pPr>
        <w:pStyle w:val="TextBody"/>
        <w:bidi w:val="0"/>
        <w:spacing w:lineRule="auto" w:line="288" w:before="0" w:after="0"/>
        <w:jc w:val="left"/>
        <w:rPr/>
      </w:pPr>
      <w:r>
        <w:rPr>
          <w:color w:val="000000"/>
        </w:rPr>
        <w:t>        </w:t>
      </w:r>
      <w:r>
        <w:rPr>
          <w:rFonts w:ascii="Times New Roman;serif" w:hAnsi="Times New Roman;serif"/>
          <w:b w:val="false"/>
          <w:color w:val="000000"/>
          <w:sz w:val="20"/>
        </w:rPr>
        <w:t>Accelerated filer  </w:t>
      </w:r>
      <w:r>
        <w:rPr>
          <w:color w:val="000000"/>
        </w:rPr>
        <w:t>☐                </w:t>
      </w:r>
      <w:r>
        <w:rPr>
          <w:rFonts w:ascii="Times New Roman;serif" w:hAnsi="Times New Roman;serif"/>
          <w:b w:val="false"/>
          <w:color w:val="000000"/>
          <w:sz w:val="20"/>
        </w:rPr>
        <w:t>Smaller reporting company  </w:t>
      </w:r>
      <w:r>
        <w:rPr>
          <w:color w:val="000000"/>
        </w:rPr>
        <w:t xml:space="preserve">☐ </w:t>
      </w:r>
    </w:p>
    <w:p>
      <w:pPr>
        <w:pStyle w:val="TextBody"/>
        <w:bidi w:val="0"/>
        <w:spacing w:lineRule="auto" w:line="288" w:before="0" w:after="0"/>
        <w:jc w:val="left"/>
        <w:rPr/>
      </w:pPr>
      <w:r>
        <w:rPr>
          <w:color w:val="000000"/>
        </w:rPr>
        <w:t>                                </w:t>
      </w:r>
      <w:r>
        <w:rPr>
          <w:rFonts w:ascii="Times New Roman;serif" w:hAnsi="Times New Roman;serif"/>
          <w:b w:val="false"/>
          <w:color w:val="000000"/>
          <w:sz w:val="20"/>
        </w:rPr>
        <w:t>Emerging growth company  </w:t>
      </w:r>
      <w:r>
        <w:rPr>
          <w:color w:val="000000"/>
        </w:rPr>
        <w:t>☐</w:t>
      </w:r>
    </w:p>
    <w:p>
      <w:pPr>
        <w:pStyle w:val="TextBody"/>
        <w:bidi w:val="0"/>
        <w:spacing w:lineRule="auto" w:line="288" w:before="8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lineRule="auto" w:line="288" w:before="120" w:after="283"/>
        <w:jc w:val="left"/>
        <w:rPr/>
      </w:pPr>
      <w:r>
        <w:rPr>
          <w:rFonts w:ascii="Times New Roman;serif" w:hAnsi="Times New Roman;serif"/>
          <w:b w:val="false"/>
          <w:color w:val="000000"/>
          <w:sz w:val="20"/>
        </w:rPr>
        <w:t>Indicate by check mark whether the registrant is a shell company (as defined in Rule 12b-2 of the Exchange Act). Yes </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x</w:t>
      </w:r>
      <w:r>
        <w:rPr>
          <w:color w:val="000000"/>
        </w:rPr>
        <w:t xml:space="preserv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April 23, 2026, there were 41,840,247 shares of the registrant’s Common Stock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7762667f04184357860c74f0caa90717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404"/>
        <w:gridCol w:w="353"/>
        <w:gridCol w:w="353"/>
        <w:gridCol w:w="2766"/>
        <w:gridCol w:w="2766"/>
        <w:gridCol w:w="2820"/>
        <w:gridCol w:w="235"/>
        <w:gridCol w:w="207"/>
        <w:gridCol w:w="301"/>
      </w:tblGrid>
      <w:tr>
        <w:trPr/>
        <w:tc>
          <w:tcPr>
            <w:tcW w:w="404"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766" w:type="dxa"/>
            <w:tcBorders/>
            <w:vAlign w:val="center"/>
          </w:tcPr>
          <w:p>
            <w:pPr>
              <w:pStyle w:val="TableContents"/>
              <w:bidi w:val="0"/>
              <w:spacing w:before="0" w:after="283"/>
              <w:jc w:val="left"/>
              <w:rPr>
                <w:sz w:val="4"/>
                <w:szCs w:val="4"/>
              </w:rPr>
            </w:pPr>
            <w:r>
              <w:rPr>
                <w:sz w:val="4"/>
                <w:szCs w:val="4"/>
              </w:rPr>
            </w:r>
          </w:p>
        </w:tc>
        <w:tc>
          <w:tcPr>
            <w:tcW w:w="2766" w:type="dxa"/>
            <w:tcBorders/>
            <w:vAlign w:val="center"/>
          </w:tcPr>
          <w:p>
            <w:pPr>
              <w:pStyle w:val="TableContents"/>
              <w:bidi w:val="0"/>
              <w:spacing w:before="0" w:after="283"/>
              <w:jc w:val="left"/>
              <w:rPr>
                <w:sz w:val="4"/>
                <w:szCs w:val="4"/>
              </w:rPr>
            </w:pPr>
            <w:r>
              <w:rPr>
                <w:sz w:val="4"/>
                <w:szCs w:val="4"/>
              </w:rPr>
            </w:r>
          </w:p>
        </w:tc>
        <w:tc>
          <w:tcPr>
            <w:tcW w:w="282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TABLE OF CONTENTS</w:t>
            </w:r>
          </w:p>
        </w:tc>
      </w:tr>
      <w:tr>
        <w:trPr/>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9462"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762667f04184357860c74f0caa90717_10">
              <w:r>
                <w:rPr>
                  <w:rStyle w:val="InternetLink"/>
                  <w:rFonts w:ascii="Times New Roman;serif" w:hAnsi="Times New Roman;serif"/>
                  <w:b w:val="false"/>
                  <w:color w:val="0000FF"/>
                  <w:sz w:val="20"/>
                  <w:u w:val="single"/>
                </w:rPr>
                <w:t>Forward-Looking Statements</w:t>
              </w:r>
            </w:hyperlink>
          </w:p>
        </w:tc>
        <w:tc>
          <w:tcPr>
            <w:tcW w:w="7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pPr>
            <w:hyperlink w:anchor="i7762667f04184357860c74f0caa90717_10">
              <w:r>
                <w:rPr>
                  <w:rStyle w:val="InternetLink"/>
                  <w:rFonts w:ascii="Times New Roman;serif" w:hAnsi="Times New Roman;serif"/>
                  <w:b w:val="false"/>
                  <w:color w:val="0000FF"/>
                  <w:sz w:val="20"/>
                  <w:u w:val="single"/>
                </w:rPr>
                <w:t>3</w:t>
              </w:r>
            </w:hyperlink>
          </w:p>
        </w:tc>
      </w:tr>
      <w:tr>
        <w:trPr/>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762667f04184357860c74f0caa90717_13">
              <w:r>
                <w:rPr>
                  <w:rStyle w:val="InternetLink"/>
                  <w:rFonts w:ascii="Times New Roman;serif" w:hAnsi="Times New Roman;serif"/>
                  <w:b/>
                  <w:color w:val="0000FF"/>
                  <w:sz w:val="20"/>
                  <w:u w:val="single"/>
                </w:rPr>
                <w:t>PART I</w:t>
              </w:r>
            </w:hyperlink>
          </w:p>
        </w:tc>
        <w:tc>
          <w:tcPr>
            <w:tcW w:w="83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762667f04184357860c74f0caa90717_16">
              <w:r>
                <w:rPr>
                  <w:rStyle w:val="InternetLink"/>
                  <w:rFonts w:ascii="Times New Roman;serif" w:hAnsi="Times New Roman;serif"/>
                  <w:b/>
                  <w:color w:val="0000FF"/>
                  <w:sz w:val="20"/>
                  <w:u w:val="single"/>
                </w:rPr>
                <w:t>FINANCIAL INFORMATION</w:t>
              </w:r>
            </w:hyperlink>
          </w:p>
        </w:tc>
        <w:tc>
          <w:tcPr>
            <w:tcW w:w="7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762667f04184357860c74f0caa90717_13">
              <w:r>
                <w:rPr>
                  <w:rStyle w:val="InternetLink"/>
                  <w:rFonts w:ascii="Times New Roman;serif" w:hAnsi="Times New Roman;serif"/>
                  <w:b/>
                  <w:color w:val="0000FF"/>
                  <w:sz w:val="20"/>
                  <w:u w:val="single"/>
                </w:rPr>
                <w:t>4</w:t>
              </w:r>
            </w:hyperlink>
          </w:p>
        </w:tc>
      </w:tr>
      <w:tr>
        <w:trPr/>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762667f04184357860c74f0caa90717_16">
              <w:r>
                <w:rPr>
                  <w:rStyle w:val="InternetLink"/>
                  <w:rFonts w:ascii="Times New Roman;serif" w:hAnsi="Times New Roman;serif"/>
                  <w:b w:val="false"/>
                  <w:color w:val="0000FF"/>
                  <w:sz w:val="20"/>
                  <w:u w:val="single"/>
                </w:rPr>
                <w:t>Item 1.</w:t>
              </w:r>
            </w:hyperlink>
          </w:p>
        </w:tc>
        <w:tc>
          <w:tcPr>
            <w:tcW w:w="83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762667f04184357860c74f0caa90717_16">
              <w:r>
                <w:rPr>
                  <w:rStyle w:val="InternetLink"/>
                  <w:rFonts w:ascii="Times New Roman;serif" w:hAnsi="Times New Roman;serif"/>
                  <w:b w:val="false"/>
                  <w:color w:val="0000FF"/>
                  <w:sz w:val="20"/>
                  <w:u w:val="single"/>
                </w:rPr>
                <w:t>Financial Statements</w:t>
              </w:r>
            </w:hyperlink>
          </w:p>
        </w:tc>
        <w:tc>
          <w:tcPr>
            <w:tcW w:w="7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762667f04184357860c74f0caa90717_16">
              <w:r>
                <w:rPr>
                  <w:rStyle w:val="InternetLink"/>
                  <w:rFonts w:ascii="Times New Roman;serif" w:hAnsi="Times New Roman;serif"/>
                  <w:b w:val="false"/>
                  <w:color w:val="0000FF"/>
                  <w:sz w:val="20"/>
                  <w:u w:val="single"/>
                </w:rPr>
                <w:t>4</w:t>
              </w:r>
            </w:hyperlink>
          </w:p>
        </w:tc>
      </w:tr>
      <w:tr>
        <w:trPr/>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762667f04184357860c74f0caa90717_19">
              <w:r>
                <w:rPr>
                  <w:rStyle w:val="InternetLink"/>
                  <w:rFonts w:ascii="Times New Roman;serif" w:hAnsi="Times New Roman;serif"/>
                  <w:b w:val="false"/>
                  <w:color w:val="0000FF"/>
                  <w:sz w:val="20"/>
                  <w:u w:val="single"/>
                </w:rPr>
                <w:t>Condensed Consolidated Statements of Comprehensive Income (unaudited) for the Three Months Ended March 31, 2026 and 2025</w:t>
              </w:r>
            </w:hyperlink>
          </w:p>
        </w:tc>
        <w:tc>
          <w:tcPr>
            <w:tcW w:w="7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762667f04184357860c74f0caa90717_19">
              <w:r>
                <w:rPr>
                  <w:rStyle w:val="InternetLink"/>
                  <w:rFonts w:ascii="Times New Roman;serif" w:hAnsi="Times New Roman;serif"/>
                  <w:b w:val="false"/>
                  <w:color w:val="0000FF"/>
                  <w:sz w:val="20"/>
                  <w:u w:val="single"/>
                </w:rPr>
                <w:t>4</w:t>
              </w:r>
            </w:hyperlink>
          </w:p>
        </w:tc>
      </w:tr>
      <w:tr>
        <w:trPr/>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762667f04184357860c74f0caa90717_22">
              <w:r>
                <w:rPr>
                  <w:rStyle w:val="InternetLink"/>
                  <w:rFonts w:ascii="Times New Roman;serif" w:hAnsi="Times New Roman;serif"/>
                  <w:b w:val="false"/>
                  <w:color w:val="0000FF"/>
                  <w:sz w:val="20"/>
                  <w:u w:val="single"/>
                </w:rPr>
                <w:t>Condensed Consolidated Balance Sheets (unaudited) as of March 31, 2026 and December 31, 2025</w:t>
              </w:r>
            </w:hyperlink>
          </w:p>
        </w:tc>
        <w:tc>
          <w:tcPr>
            <w:tcW w:w="7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762667f04184357860c74f0caa90717_22">
              <w:r>
                <w:rPr>
                  <w:rStyle w:val="InternetLink"/>
                  <w:rFonts w:ascii="Times New Roman;serif" w:hAnsi="Times New Roman;serif"/>
                  <w:b w:val="false"/>
                  <w:color w:val="0000FF"/>
                  <w:sz w:val="20"/>
                  <w:u w:val="single"/>
                </w:rPr>
                <w:t>5</w:t>
              </w:r>
            </w:hyperlink>
          </w:p>
        </w:tc>
      </w:tr>
      <w:tr>
        <w:trPr/>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762667f04184357860c74f0caa90717_25">
              <w:r>
                <w:rPr>
                  <w:rStyle w:val="InternetLink"/>
                  <w:rFonts w:ascii="Times New Roman;serif" w:hAnsi="Times New Roman;serif"/>
                  <w:b w:val="false"/>
                  <w:color w:val="0000FF"/>
                  <w:sz w:val="20"/>
                  <w:u w:val="single"/>
                </w:rPr>
                <w:t>Condensed Consolidated Statements of Changes in Stockholders’ Equity (unaudited) for the Three Months Ended March 31, 2026 and 2025</w:t>
              </w:r>
            </w:hyperlink>
          </w:p>
        </w:tc>
        <w:tc>
          <w:tcPr>
            <w:tcW w:w="7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762667f04184357860c74f0caa90717_25">
              <w:r>
                <w:rPr>
                  <w:rStyle w:val="InternetLink"/>
                  <w:rFonts w:ascii="Times New Roman;serif" w:hAnsi="Times New Roman;serif"/>
                  <w:b w:val="false"/>
                  <w:color w:val="0000FF"/>
                  <w:sz w:val="20"/>
                  <w:u w:val="single"/>
                </w:rPr>
                <w:t>7</w:t>
              </w:r>
            </w:hyperlink>
          </w:p>
        </w:tc>
      </w:tr>
      <w:tr>
        <w:trPr/>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762667f04184357860c74f0caa90717_28">
              <w:r>
                <w:rPr>
                  <w:rStyle w:val="InternetLink"/>
                  <w:rFonts w:ascii="Times New Roman;serif" w:hAnsi="Times New Roman;serif"/>
                  <w:b w:val="false"/>
                  <w:color w:val="0000FF"/>
                  <w:sz w:val="20"/>
                  <w:u w:val="single"/>
                </w:rPr>
                <w:t>Condensed Consolidated Statements of Cash Flows (unaudited) for the Three Months Ended March 31, 2026 and 2025</w:t>
              </w:r>
            </w:hyperlink>
          </w:p>
        </w:tc>
        <w:tc>
          <w:tcPr>
            <w:tcW w:w="7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762667f04184357860c74f0caa90717_28">
              <w:r>
                <w:rPr>
                  <w:rStyle w:val="InternetLink"/>
                  <w:rFonts w:ascii="Times New Roman;serif" w:hAnsi="Times New Roman;serif"/>
                  <w:b w:val="false"/>
                  <w:color w:val="0000FF"/>
                  <w:sz w:val="20"/>
                  <w:u w:val="single"/>
                </w:rPr>
                <w:t>8</w:t>
              </w:r>
            </w:hyperlink>
          </w:p>
        </w:tc>
      </w:tr>
      <w:tr>
        <w:trPr/>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762667f04184357860c74f0caa90717_31">
              <w:r>
                <w:rPr>
                  <w:rStyle w:val="InternetLink"/>
                  <w:rFonts w:ascii="Times New Roman;serif" w:hAnsi="Times New Roman;serif"/>
                  <w:b w:val="false"/>
                  <w:color w:val="0000FF"/>
                  <w:sz w:val="20"/>
                  <w:u w:val="single"/>
                </w:rPr>
                <w:t>Notes to Unaudited Condensed Consolidated Financial Statements</w:t>
              </w:r>
            </w:hyperlink>
          </w:p>
        </w:tc>
        <w:tc>
          <w:tcPr>
            <w:tcW w:w="7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762667f04184357860c74f0caa90717_31">
              <w:r>
                <w:rPr>
                  <w:rStyle w:val="InternetLink"/>
                  <w:rFonts w:ascii="Times New Roman;serif" w:hAnsi="Times New Roman;serif"/>
                  <w:b w:val="false"/>
                  <w:color w:val="0000FF"/>
                  <w:sz w:val="20"/>
                  <w:u w:val="single"/>
                </w:rPr>
                <w:t>9</w:t>
              </w:r>
            </w:hyperlink>
          </w:p>
        </w:tc>
      </w:tr>
      <w:tr>
        <w:trPr/>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762667f04184357860c74f0caa90717_70">
              <w:r>
                <w:rPr>
                  <w:rStyle w:val="InternetLink"/>
                  <w:rFonts w:ascii="Times New Roman;serif" w:hAnsi="Times New Roman;serif"/>
                  <w:b w:val="false"/>
                  <w:color w:val="0000FF"/>
                  <w:sz w:val="20"/>
                  <w:u w:val="single"/>
                </w:rPr>
                <w:t>Item 2.</w:t>
              </w:r>
            </w:hyperlink>
          </w:p>
        </w:tc>
        <w:tc>
          <w:tcPr>
            <w:tcW w:w="83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762667f04184357860c74f0caa90717_70">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7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762667f04184357860c74f0caa90717_70">
              <w:r>
                <w:rPr>
                  <w:rStyle w:val="InternetLink"/>
                  <w:rFonts w:ascii="Times New Roman;serif" w:hAnsi="Times New Roman;serif"/>
                  <w:b w:val="false"/>
                  <w:color w:val="0000FF"/>
                  <w:sz w:val="20"/>
                  <w:u w:val="single"/>
                </w:rPr>
                <w:t>22</w:t>
              </w:r>
            </w:hyperlink>
          </w:p>
        </w:tc>
      </w:tr>
      <w:tr>
        <w:trPr/>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762667f04184357860c74f0caa90717_94">
              <w:r>
                <w:rPr>
                  <w:rStyle w:val="InternetLink"/>
                  <w:rFonts w:ascii="Times New Roman;serif" w:hAnsi="Times New Roman;serif"/>
                  <w:b w:val="false"/>
                  <w:color w:val="0000FF"/>
                  <w:sz w:val="20"/>
                  <w:u w:val="single"/>
                </w:rPr>
                <w:t>Item 3.</w:t>
              </w:r>
            </w:hyperlink>
          </w:p>
        </w:tc>
        <w:tc>
          <w:tcPr>
            <w:tcW w:w="83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762667f04184357860c74f0caa90717_94">
              <w:r>
                <w:rPr>
                  <w:rStyle w:val="InternetLink"/>
                  <w:rFonts w:ascii="Times New Roman;serif" w:hAnsi="Times New Roman;serif"/>
                  <w:b w:val="false"/>
                  <w:color w:val="0000FF"/>
                  <w:sz w:val="20"/>
                  <w:u w:val="single"/>
                </w:rPr>
                <w:t>Quantitative and Qualitative Disclosures About Market Risk</w:t>
              </w:r>
            </w:hyperlink>
          </w:p>
        </w:tc>
        <w:tc>
          <w:tcPr>
            <w:tcW w:w="7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762667f04184357860c74f0caa90717_94">
              <w:r>
                <w:rPr>
                  <w:rStyle w:val="InternetLink"/>
                  <w:rFonts w:ascii="Times New Roman;serif" w:hAnsi="Times New Roman;serif"/>
                  <w:b w:val="false"/>
                  <w:color w:val="0000FF"/>
                  <w:sz w:val="20"/>
                  <w:u w:val="single"/>
                </w:rPr>
                <w:t>32</w:t>
              </w:r>
            </w:hyperlink>
          </w:p>
        </w:tc>
      </w:tr>
      <w:tr>
        <w:trPr/>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762667f04184357860c74f0caa90717_97">
              <w:r>
                <w:rPr>
                  <w:rStyle w:val="InternetLink"/>
                  <w:rFonts w:ascii="Times New Roman;serif" w:hAnsi="Times New Roman;serif"/>
                  <w:b w:val="false"/>
                  <w:color w:val="0000FF"/>
                  <w:sz w:val="20"/>
                  <w:u w:val="single"/>
                </w:rPr>
                <w:t>Item 4</w:t>
              </w:r>
            </w:hyperlink>
            <w:r>
              <w:rPr>
                <w:rFonts w:ascii="Times New Roman;serif" w:hAnsi="Times New Roman;serif"/>
                <w:b w:val="false"/>
                <w:color w:val="000000"/>
                <w:sz w:val="20"/>
              </w:rPr>
              <w:t>.</w:t>
            </w:r>
          </w:p>
        </w:tc>
        <w:tc>
          <w:tcPr>
            <w:tcW w:w="83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762667f04184357860c74f0caa90717_97">
              <w:r>
                <w:rPr>
                  <w:rStyle w:val="InternetLink"/>
                  <w:rFonts w:ascii="Times New Roman;serif" w:hAnsi="Times New Roman;serif"/>
                  <w:b w:val="false"/>
                  <w:color w:val="0000FF"/>
                  <w:sz w:val="20"/>
                  <w:u w:val="single"/>
                </w:rPr>
                <w:t>Controls and Procedures</w:t>
              </w:r>
            </w:hyperlink>
          </w:p>
        </w:tc>
        <w:tc>
          <w:tcPr>
            <w:tcW w:w="7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762667f04184357860c74f0caa90717_97">
              <w:r>
                <w:rPr>
                  <w:rStyle w:val="InternetLink"/>
                  <w:rFonts w:ascii="Times New Roman;serif" w:hAnsi="Times New Roman;serif"/>
                  <w:b w:val="false"/>
                  <w:color w:val="0000FF"/>
                  <w:sz w:val="20"/>
                  <w:u w:val="single"/>
                </w:rPr>
                <w:t>32</w:t>
              </w:r>
            </w:hyperlink>
          </w:p>
        </w:tc>
      </w:tr>
      <w:tr>
        <w:trPr/>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762667f04184357860c74f0caa90717_100">
              <w:r>
                <w:rPr>
                  <w:rStyle w:val="InternetLink"/>
                  <w:rFonts w:ascii="Times New Roman;serif" w:hAnsi="Times New Roman;serif"/>
                  <w:b/>
                  <w:color w:val="0000FF"/>
                  <w:sz w:val="20"/>
                  <w:u w:val="single"/>
                </w:rPr>
                <w:t>PART II</w:t>
              </w:r>
            </w:hyperlink>
          </w:p>
        </w:tc>
        <w:tc>
          <w:tcPr>
            <w:tcW w:w="83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762667f04184357860c74f0caa90717_100">
              <w:r>
                <w:rPr>
                  <w:rStyle w:val="InternetLink"/>
                  <w:rFonts w:ascii="Times New Roman;serif" w:hAnsi="Times New Roman;serif"/>
                  <w:b/>
                  <w:color w:val="0000FF"/>
                  <w:sz w:val="20"/>
                  <w:u w:val="single"/>
                </w:rPr>
                <w:t>OTHER INFORMATION</w:t>
              </w:r>
            </w:hyperlink>
          </w:p>
        </w:tc>
        <w:tc>
          <w:tcPr>
            <w:tcW w:w="7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762667f04184357860c74f0caa90717_100">
              <w:r>
                <w:rPr>
                  <w:rStyle w:val="InternetLink"/>
                  <w:rFonts w:ascii="Times New Roman;serif" w:hAnsi="Times New Roman;serif"/>
                  <w:b/>
                  <w:color w:val="0000FF"/>
                  <w:sz w:val="20"/>
                  <w:u w:val="single"/>
                </w:rPr>
                <w:t>34</w:t>
              </w:r>
            </w:hyperlink>
          </w:p>
        </w:tc>
      </w:tr>
      <w:tr>
        <w:trPr/>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762667f04184357860c74f0caa90717_103">
              <w:r>
                <w:rPr>
                  <w:rStyle w:val="InternetLink"/>
                  <w:rFonts w:ascii="Times New Roman;serif" w:hAnsi="Times New Roman;serif"/>
                  <w:b w:val="false"/>
                  <w:color w:val="0000FF"/>
                  <w:sz w:val="20"/>
                  <w:u w:val="single"/>
                </w:rPr>
                <w:t>Item 1.</w:t>
              </w:r>
            </w:hyperlink>
          </w:p>
        </w:tc>
        <w:tc>
          <w:tcPr>
            <w:tcW w:w="83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762667f04184357860c74f0caa90717_103">
              <w:r>
                <w:rPr>
                  <w:rStyle w:val="InternetLink"/>
                  <w:rFonts w:ascii="Times New Roman;serif" w:hAnsi="Times New Roman;serif"/>
                  <w:b w:val="false"/>
                  <w:color w:val="0000FF"/>
                  <w:sz w:val="20"/>
                  <w:u w:val="single"/>
                </w:rPr>
                <w:t>Legal Proceedings</w:t>
              </w:r>
            </w:hyperlink>
          </w:p>
        </w:tc>
        <w:tc>
          <w:tcPr>
            <w:tcW w:w="7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762667f04184357860c74f0caa90717_103">
              <w:r>
                <w:rPr>
                  <w:rStyle w:val="InternetLink"/>
                  <w:rFonts w:ascii="Times New Roman;serif" w:hAnsi="Times New Roman;serif"/>
                  <w:b w:val="false"/>
                  <w:color w:val="0000FF"/>
                  <w:sz w:val="20"/>
                  <w:u w:val="single"/>
                </w:rPr>
                <w:t>34</w:t>
              </w:r>
            </w:hyperlink>
          </w:p>
        </w:tc>
      </w:tr>
      <w:tr>
        <w:trPr/>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762667f04184357860c74f0caa90717_106">
              <w:r>
                <w:rPr>
                  <w:rStyle w:val="InternetLink"/>
                  <w:rFonts w:ascii="Times New Roman;serif" w:hAnsi="Times New Roman;serif"/>
                  <w:b w:val="false"/>
                  <w:color w:val="0000FF"/>
                  <w:sz w:val="20"/>
                  <w:u w:val="single"/>
                </w:rPr>
                <w:t>Item 1A.</w:t>
              </w:r>
            </w:hyperlink>
          </w:p>
        </w:tc>
        <w:tc>
          <w:tcPr>
            <w:tcW w:w="83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762667f04184357860c74f0caa90717_106">
              <w:r>
                <w:rPr>
                  <w:rStyle w:val="InternetLink"/>
                  <w:rFonts w:ascii="Times New Roman;serif" w:hAnsi="Times New Roman;serif"/>
                  <w:b w:val="false"/>
                  <w:color w:val="0000FF"/>
                  <w:sz w:val="20"/>
                  <w:u w:val="single"/>
                </w:rPr>
                <w:t>Risk Factors</w:t>
              </w:r>
            </w:hyperlink>
          </w:p>
        </w:tc>
        <w:tc>
          <w:tcPr>
            <w:tcW w:w="7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762667f04184357860c74f0caa90717_106">
              <w:r>
                <w:rPr>
                  <w:rStyle w:val="InternetLink"/>
                  <w:rFonts w:ascii="Times New Roman;serif" w:hAnsi="Times New Roman;serif"/>
                  <w:b w:val="false"/>
                  <w:color w:val="0000FF"/>
                  <w:sz w:val="20"/>
                  <w:u w:val="single"/>
                </w:rPr>
                <w:t>34</w:t>
              </w:r>
            </w:hyperlink>
          </w:p>
        </w:tc>
      </w:tr>
      <w:tr>
        <w:trPr/>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762667f04184357860c74f0caa90717_109">
              <w:r>
                <w:rPr>
                  <w:rStyle w:val="InternetLink"/>
                  <w:rFonts w:ascii="Times New Roman;serif" w:hAnsi="Times New Roman;serif"/>
                  <w:b w:val="false"/>
                  <w:color w:val="0000FF"/>
                  <w:sz w:val="20"/>
                  <w:u w:val="single"/>
                </w:rPr>
                <w:t>Item 2.</w:t>
              </w:r>
            </w:hyperlink>
          </w:p>
        </w:tc>
        <w:tc>
          <w:tcPr>
            <w:tcW w:w="83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762667f04184357860c74f0caa90717_109">
              <w:r>
                <w:rPr>
                  <w:rStyle w:val="InternetLink"/>
                  <w:rFonts w:ascii="Times New Roman;serif" w:hAnsi="Times New Roman;serif"/>
                  <w:b w:val="false"/>
                  <w:color w:val="0000FF"/>
                  <w:sz w:val="20"/>
                  <w:u w:val="single"/>
                </w:rPr>
                <w:t>Unregistered Sales of Equity Securities and Use of Proceeds</w:t>
              </w:r>
            </w:hyperlink>
          </w:p>
        </w:tc>
        <w:tc>
          <w:tcPr>
            <w:tcW w:w="7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762667f04184357860c74f0caa90717_109">
              <w:r>
                <w:rPr>
                  <w:rStyle w:val="InternetLink"/>
                  <w:rFonts w:ascii="Times New Roman;serif" w:hAnsi="Times New Roman;serif"/>
                  <w:b w:val="false"/>
                  <w:color w:val="0000FF"/>
                  <w:sz w:val="20"/>
                  <w:u w:val="single"/>
                </w:rPr>
                <w:t>34</w:t>
              </w:r>
            </w:hyperlink>
          </w:p>
        </w:tc>
      </w:tr>
      <w:tr>
        <w:trPr/>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762667f04184357860c74f0caa90717_112">
              <w:r>
                <w:rPr>
                  <w:rStyle w:val="InternetLink"/>
                  <w:rFonts w:ascii="Times New Roman;serif" w:hAnsi="Times New Roman;serif"/>
                  <w:b w:val="false"/>
                  <w:color w:val="0000FF"/>
                  <w:sz w:val="20"/>
                  <w:u w:val="single"/>
                </w:rPr>
                <w:t>Item 3.</w:t>
              </w:r>
            </w:hyperlink>
          </w:p>
        </w:tc>
        <w:tc>
          <w:tcPr>
            <w:tcW w:w="83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762667f04184357860c74f0caa90717_112">
              <w:r>
                <w:rPr>
                  <w:rStyle w:val="InternetLink"/>
                  <w:rFonts w:ascii="Times New Roman;serif" w:hAnsi="Times New Roman;serif"/>
                  <w:b w:val="false"/>
                  <w:color w:val="0000FF"/>
                  <w:sz w:val="20"/>
                  <w:u w:val="single"/>
                </w:rPr>
                <w:t>Defaults Upon Senior Securities</w:t>
              </w:r>
            </w:hyperlink>
          </w:p>
        </w:tc>
        <w:tc>
          <w:tcPr>
            <w:tcW w:w="7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762667f04184357860c74f0caa90717_112">
              <w:r>
                <w:rPr>
                  <w:rStyle w:val="InternetLink"/>
                  <w:rFonts w:ascii="Times New Roman;serif" w:hAnsi="Times New Roman;serif"/>
                  <w:b w:val="false"/>
                  <w:color w:val="0000FF"/>
                  <w:sz w:val="20"/>
                  <w:u w:val="single"/>
                </w:rPr>
                <w:t>34</w:t>
              </w:r>
            </w:hyperlink>
          </w:p>
        </w:tc>
      </w:tr>
      <w:tr>
        <w:trPr/>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762667f04184357860c74f0caa90717_115">
              <w:r>
                <w:rPr>
                  <w:rStyle w:val="InternetLink"/>
                  <w:rFonts w:ascii="Times New Roman;serif" w:hAnsi="Times New Roman;serif"/>
                  <w:b w:val="false"/>
                  <w:color w:val="0000FF"/>
                  <w:sz w:val="20"/>
                  <w:u w:val="single"/>
                </w:rPr>
                <w:t>Item 4.</w:t>
              </w:r>
            </w:hyperlink>
          </w:p>
        </w:tc>
        <w:tc>
          <w:tcPr>
            <w:tcW w:w="83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762667f04184357860c74f0caa90717_115">
              <w:r>
                <w:rPr>
                  <w:rStyle w:val="InternetLink"/>
                  <w:rFonts w:ascii="Times New Roman;serif" w:hAnsi="Times New Roman;serif"/>
                  <w:b w:val="false"/>
                  <w:color w:val="0000FF"/>
                  <w:sz w:val="20"/>
                  <w:u w:val="single"/>
                </w:rPr>
                <w:t>Mine Safety Disclosures</w:t>
              </w:r>
            </w:hyperlink>
          </w:p>
        </w:tc>
        <w:tc>
          <w:tcPr>
            <w:tcW w:w="7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762667f04184357860c74f0caa90717_115">
              <w:r>
                <w:rPr>
                  <w:rStyle w:val="InternetLink"/>
                  <w:rFonts w:ascii="Times New Roman;serif" w:hAnsi="Times New Roman;serif"/>
                  <w:b w:val="false"/>
                  <w:color w:val="0000FF"/>
                  <w:sz w:val="20"/>
                  <w:u w:val="single"/>
                </w:rPr>
                <w:t>35</w:t>
              </w:r>
            </w:hyperlink>
          </w:p>
        </w:tc>
      </w:tr>
      <w:tr>
        <w:trPr/>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762667f04184357860c74f0caa90717_118">
              <w:r>
                <w:rPr>
                  <w:rStyle w:val="InternetLink"/>
                  <w:rFonts w:ascii="Times New Roman;serif" w:hAnsi="Times New Roman;serif"/>
                  <w:b w:val="false"/>
                  <w:color w:val="0000FF"/>
                  <w:sz w:val="20"/>
                  <w:u w:val="single"/>
                </w:rPr>
                <w:t>Item 5.</w:t>
              </w:r>
            </w:hyperlink>
          </w:p>
        </w:tc>
        <w:tc>
          <w:tcPr>
            <w:tcW w:w="83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762667f04184357860c74f0caa90717_118">
              <w:r>
                <w:rPr>
                  <w:rStyle w:val="InternetLink"/>
                  <w:rFonts w:ascii="Times New Roman;serif" w:hAnsi="Times New Roman;serif"/>
                  <w:b w:val="false"/>
                  <w:color w:val="0000FF"/>
                  <w:sz w:val="20"/>
                  <w:u w:val="single"/>
                </w:rPr>
                <w:t>Other Information</w:t>
              </w:r>
            </w:hyperlink>
          </w:p>
        </w:tc>
        <w:tc>
          <w:tcPr>
            <w:tcW w:w="7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762667f04184357860c74f0caa90717_118">
              <w:r>
                <w:rPr>
                  <w:rStyle w:val="InternetLink"/>
                  <w:rFonts w:ascii="Times New Roman;serif" w:hAnsi="Times New Roman;serif"/>
                  <w:b w:val="false"/>
                  <w:color w:val="0000FF"/>
                  <w:sz w:val="20"/>
                  <w:u w:val="single"/>
                </w:rPr>
                <w:t>35</w:t>
              </w:r>
            </w:hyperlink>
          </w:p>
        </w:tc>
      </w:tr>
      <w:tr>
        <w:trPr/>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762667f04184357860c74f0caa90717_121">
              <w:r>
                <w:rPr>
                  <w:rStyle w:val="InternetLink"/>
                  <w:rFonts w:ascii="Times New Roman;serif" w:hAnsi="Times New Roman;serif"/>
                  <w:b w:val="false"/>
                  <w:color w:val="0000FF"/>
                  <w:sz w:val="20"/>
                  <w:u w:val="single"/>
                </w:rPr>
                <w:t>Item 6.</w:t>
              </w:r>
            </w:hyperlink>
          </w:p>
        </w:tc>
        <w:tc>
          <w:tcPr>
            <w:tcW w:w="83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762667f04184357860c74f0caa90717_121">
              <w:r>
                <w:rPr>
                  <w:rStyle w:val="InternetLink"/>
                  <w:rFonts w:ascii="Times New Roman;serif" w:hAnsi="Times New Roman;serif"/>
                  <w:b w:val="false"/>
                  <w:color w:val="0000FF"/>
                  <w:sz w:val="20"/>
                  <w:u w:val="single"/>
                </w:rPr>
                <w:t>Exhibits</w:t>
              </w:r>
            </w:hyperlink>
          </w:p>
        </w:tc>
        <w:tc>
          <w:tcPr>
            <w:tcW w:w="7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762667f04184357860c74f0caa90717_121">
              <w:r>
                <w:rPr>
                  <w:rStyle w:val="InternetLink"/>
                  <w:rFonts w:ascii="Times New Roman;serif" w:hAnsi="Times New Roman;serif"/>
                  <w:b w:val="false"/>
                  <w:color w:val="0000FF"/>
                  <w:sz w:val="20"/>
                  <w:u w:val="single"/>
                </w:rPr>
                <w:t>36</w:t>
              </w:r>
            </w:hyperlink>
          </w:p>
        </w:tc>
      </w:tr>
      <w:tr>
        <w:trPr/>
        <w:tc>
          <w:tcPr>
            <w:tcW w:w="9462"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762667f04184357860c74f0caa90717_124">
              <w:r>
                <w:rPr>
                  <w:rStyle w:val="InternetLink"/>
                  <w:rFonts w:ascii="Times New Roman;serif" w:hAnsi="Times New Roman;serif"/>
                  <w:b w:val="false"/>
                  <w:color w:val="0000FF"/>
                  <w:sz w:val="20"/>
                  <w:u w:val="single"/>
                </w:rPr>
                <w:t>Signatures</w:t>
              </w:r>
            </w:hyperlink>
          </w:p>
        </w:tc>
        <w:tc>
          <w:tcPr>
            <w:tcW w:w="7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762667f04184357860c74f0caa90717_124">
              <w:r>
                <w:rPr>
                  <w:rStyle w:val="InternetLink"/>
                  <w:rFonts w:ascii="Times New Roman;serif" w:hAnsi="Times New Roman;serif"/>
                  <w:b w:val="false"/>
                  <w:color w:val="0000FF"/>
                  <w:sz w:val="20"/>
                  <w:u w:val="single"/>
                </w:rPr>
                <w:t>37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7762667f04184357860c74f0caa907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160" w:after="283"/>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This report contains forward-looking statements within the meaning of the Private Securities Litigation Reform Act of 1995, as amended. Some of these forward-looking statements can be identified by the use of forward-looking words such as “believes,” “expects,” “may,” “will,” “should,” “seeks,” “approximately,” “intends,” “plans,” “estimates,” “projects,” “strategy,” or “anticipates,” or the negative of those words or other comparable terminology. These forward-looking statements are only predictions and are subject to risks, uncertainties and assumptions that are difficult to predict. </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accuracy of such statements is subject to a number of risks, uncertainties and assumptions including, but not limited to, the following factors: </w:t>
      </w:r>
    </w:p>
    <w:p>
      <w:pPr>
        <w:pStyle w:val="TextBody"/>
        <w:bidi w:val="0"/>
        <w:spacing w:lineRule="auto" w:line="288" w:before="160" w:after="283"/>
        <w:ind w:left="0" w:right="0" w:hanging="360"/>
        <w:jc w:val="left"/>
        <w:rPr/>
      </w:pPr>
      <w:r>
        <w:rPr>
          <w:color w:val="000000"/>
        </w:rPr>
        <w:t>•</w:t>
      </w:r>
      <w:r>
        <w:rPr>
          <w:rFonts w:ascii="Times New Roman;serif" w:hAnsi="Times New Roman;serif"/>
          <w:b w:val="false"/>
          <w:color w:val="000000"/>
          <w:sz w:val="20"/>
        </w:rPr>
        <w:t>the risks associated with the proposed transactions with Quadvest, L.P., a Texas limited partnership and Quadvest Wholesale, LLC, a Texas limited liability company (together, “Quadvest”), including the risk of the proposed transactions not closing on the anticipated timeline, or at all, the ability to obtain required regulatory approvals, and the ability to successfully integrate Quadvest’s operations and realize the projected financial and other benefits of the proposed transactions;</w:t>
      </w:r>
    </w:p>
    <w:p>
      <w:pPr>
        <w:pStyle w:val="TextBody"/>
        <w:bidi w:val="0"/>
        <w:spacing w:lineRule="auto" w:line="288" w:before="160" w:after="283"/>
        <w:ind w:left="0" w:right="0" w:hanging="360"/>
        <w:jc w:val="left"/>
        <w:rPr/>
      </w:pPr>
      <w:r>
        <w:rPr>
          <w:color w:val="000000"/>
        </w:rPr>
        <w:t>•</w:t>
      </w:r>
      <w:r>
        <w:rPr>
          <w:rFonts w:ascii="Times New Roman;serif" w:hAnsi="Times New Roman;serif"/>
          <w:b w:val="false"/>
          <w:color w:val="000000"/>
          <w:sz w:val="20"/>
        </w:rPr>
        <w:t xml:space="preserve">the effect of water, utility, environmental and other governmental policies and regulations, including regulatory actions concerning rates, authorized return on equity, authorized capital structures, capital expenditures, per- and polyfluoroalkyl substances (“PFAS”) and other decisions; </w:t>
      </w:r>
    </w:p>
    <w:p>
      <w:pPr>
        <w:pStyle w:val="TextBody"/>
        <w:bidi w:val="0"/>
        <w:spacing w:lineRule="auto" w:line="288" w:before="160" w:after="283"/>
        <w:ind w:left="0" w:right="0" w:hanging="360"/>
        <w:jc w:val="left"/>
        <w:rPr/>
      </w:pPr>
      <w:r>
        <w:rPr>
          <w:color w:val="000000"/>
        </w:rPr>
        <w:t>•</w:t>
      </w:r>
      <w:r>
        <w:rPr>
          <w:rFonts w:ascii="Times New Roman;serif" w:hAnsi="Times New Roman;serif"/>
          <w:b w:val="false"/>
          <w:color w:val="000000"/>
          <w:sz w:val="20"/>
        </w:rPr>
        <w:t xml:space="preserve">changes in demand for water and other services; </w:t>
      </w:r>
    </w:p>
    <w:p>
      <w:pPr>
        <w:pStyle w:val="TextBody"/>
        <w:bidi w:val="0"/>
        <w:spacing w:lineRule="auto" w:line="288" w:before="160" w:after="283"/>
        <w:ind w:left="0" w:right="0" w:hanging="360"/>
        <w:jc w:val="left"/>
        <w:rPr/>
      </w:pPr>
      <w:r>
        <w:rPr>
          <w:color w:val="000000"/>
        </w:rPr>
        <w:t>•</w:t>
      </w:r>
      <w:r>
        <w:rPr>
          <w:rFonts w:ascii="Times New Roman;serif" w:hAnsi="Times New Roman;serif"/>
          <w:b w:val="false"/>
          <w:color w:val="000000"/>
          <w:sz w:val="20"/>
        </w:rPr>
        <w:t xml:space="preserve">unanticipated weather conditions and changes in seasonality including those affecting water supply and customer usage; </w:t>
      </w:r>
    </w:p>
    <w:p>
      <w:pPr>
        <w:pStyle w:val="TextBody"/>
        <w:bidi w:val="0"/>
        <w:spacing w:lineRule="auto" w:line="288" w:before="160" w:after="283"/>
        <w:ind w:left="0" w:right="0" w:hanging="360"/>
        <w:jc w:val="left"/>
        <w:rPr/>
      </w:pPr>
      <w:r>
        <w:rPr>
          <w:color w:val="000000"/>
        </w:rPr>
        <w:t>•</w:t>
      </w:r>
      <w:r>
        <w:rPr>
          <w:rFonts w:ascii="Times New Roman;serif" w:hAnsi="Times New Roman;serif"/>
          <w:b w:val="false"/>
          <w:color w:val="000000"/>
          <w:sz w:val="20"/>
        </w:rPr>
        <w:t xml:space="preserve">the effect of the impacts of climate change; </w:t>
      </w:r>
    </w:p>
    <w:p>
      <w:pPr>
        <w:pStyle w:val="TextBody"/>
        <w:bidi w:val="0"/>
        <w:spacing w:lineRule="auto" w:line="288" w:before="160" w:after="283"/>
        <w:ind w:left="0" w:right="0" w:hanging="360"/>
        <w:jc w:val="left"/>
        <w:rPr/>
      </w:pPr>
      <w:r>
        <w:rPr>
          <w:color w:val="000000"/>
        </w:rPr>
        <w:t>•</w:t>
      </w:r>
      <w:r>
        <w:rPr>
          <w:rFonts w:ascii="Times New Roman;serif" w:hAnsi="Times New Roman;serif"/>
          <w:b w:val="false"/>
          <w:color w:val="000000"/>
          <w:sz w:val="20"/>
        </w:rPr>
        <w:t>unexpected costs, charges or expenses;</w:t>
      </w:r>
    </w:p>
    <w:p>
      <w:pPr>
        <w:pStyle w:val="TextBody"/>
        <w:bidi w:val="0"/>
        <w:spacing w:lineRule="auto" w:line="288" w:before="160" w:after="283"/>
        <w:ind w:left="0" w:right="0" w:hanging="360"/>
        <w:jc w:val="left"/>
        <w:rPr/>
      </w:pPr>
      <w:r>
        <w:rPr>
          <w:color w:val="000000"/>
        </w:rPr>
        <w:t>•</w:t>
      </w:r>
      <w:r>
        <w:rPr>
          <w:rFonts w:ascii="Times New Roman;serif" w:hAnsi="Times New Roman;serif"/>
          <w:b w:val="false"/>
          <w:color w:val="000000"/>
          <w:sz w:val="20"/>
        </w:rPr>
        <w:t xml:space="preserve">our ability to successfully evaluate investments in new business and growth initiatives; </w:t>
      </w:r>
    </w:p>
    <w:p>
      <w:pPr>
        <w:pStyle w:val="TextBody"/>
        <w:bidi w:val="0"/>
        <w:spacing w:lineRule="auto" w:line="288" w:before="160" w:after="283"/>
        <w:ind w:left="0" w:right="0" w:hanging="360"/>
        <w:jc w:val="left"/>
        <w:rPr/>
      </w:pPr>
      <w:r>
        <w:rPr>
          <w:color w:val="000000"/>
        </w:rPr>
        <w:t>•</w:t>
      </w:r>
      <w:r>
        <w:rPr>
          <w:rFonts w:ascii="Times New Roman;serif" w:hAnsi="Times New Roman;serif"/>
          <w:b w:val="false"/>
          <w:color w:val="000000"/>
          <w:sz w:val="20"/>
        </w:rPr>
        <w:t>contamination of our water supplies and damage or failure of our water equipment and infrastructure;</w:t>
      </w:r>
    </w:p>
    <w:p>
      <w:pPr>
        <w:pStyle w:val="TextBody"/>
        <w:bidi w:val="0"/>
        <w:spacing w:lineRule="auto" w:line="288" w:before="160" w:after="283"/>
        <w:ind w:left="0" w:right="0" w:hanging="360"/>
        <w:jc w:val="left"/>
        <w:rPr/>
      </w:pPr>
      <w:r>
        <w:rPr>
          <w:color w:val="000000"/>
        </w:rPr>
        <w:t>•</w:t>
      </w:r>
      <w:r>
        <w:rPr>
          <w:rFonts w:ascii="Times New Roman;serif" w:hAnsi="Times New Roman;serif"/>
          <w:b w:val="false"/>
          <w:color w:val="000000"/>
          <w:sz w:val="20"/>
        </w:rPr>
        <w:t xml:space="preserve">the risk of work stoppages, strikes and other labor-related actions; </w:t>
      </w:r>
    </w:p>
    <w:p>
      <w:pPr>
        <w:pStyle w:val="TextBody"/>
        <w:bidi w:val="0"/>
        <w:spacing w:lineRule="auto" w:line="288" w:before="160" w:after="283"/>
        <w:ind w:left="0" w:right="0" w:hanging="360"/>
        <w:jc w:val="left"/>
        <w:rPr/>
      </w:pPr>
      <w:r>
        <w:rPr>
          <w:color w:val="000000"/>
        </w:rPr>
        <w:t>•</w:t>
      </w:r>
      <w:r>
        <w:rPr>
          <w:rFonts w:ascii="Times New Roman;serif" w:hAnsi="Times New Roman;serif"/>
          <w:b w:val="false"/>
          <w:color w:val="000000"/>
          <w:sz w:val="20"/>
        </w:rPr>
        <w:t>catastrophic events such as fires, earthquakes, explosions, floods, ice storms, tornadoes, hurricanes, terrorist acts, physical attacks, cyber-attacks, epidemic, or other similar occurrences;</w:t>
      </w:r>
    </w:p>
    <w:p>
      <w:pPr>
        <w:pStyle w:val="TextBody"/>
        <w:bidi w:val="0"/>
        <w:spacing w:lineRule="auto" w:line="288" w:before="160" w:after="283"/>
        <w:ind w:left="0" w:right="0" w:hanging="360"/>
        <w:jc w:val="left"/>
        <w:rPr/>
      </w:pPr>
      <w:r>
        <w:rPr>
          <w:color w:val="000000"/>
        </w:rPr>
        <w:t>•</w:t>
      </w:r>
      <w:r>
        <w:rPr>
          <w:rFonts w:ascii="Times New Roman;serif" w:hAnsi="Times New Roman;serif"/>
          <w:b w:val="false"/>
          <w:color w:val="000000"/>
          <w:sz w:val="20"/>
        </w:rPr>
        <w:t xml:space="preserve">changes in general economic, political, business and financial market conditions; </w:t>
      </w:r>
    </w:p>
    <w:p>
      <w:pPr>
        <w:pStyle w:val="TextBody"/>
        <w:bidi w:val="0"/>
        <w:spacing w:lineRule="auto" w:line="288" w:before="160" w:after="283"/>
        <w:ind w:left="0" w:right="0" w:hanging="360"/>
        <w:jc w:val="left"/>
        <w:rPr/>
      </w:pPr>
      <w:r>
        <w:rPr>
          <w:color w:val="000000"/>
        </w:rPr>
        <w:t>•</w:t>
      </w:r>
      <w:r>
        <w:rPr>
          <w:rFonts w:ascii="Times New Roman;serif" w:hAnsi="Times New Roman;serif"/>
          <w:b w:val="false"/>
          <w:color w:val="000000"/>
          <w:sz w:val="20"/>
        </w:rPr>
        <w:t xml:space="preserve">the ability to obtain financing on favorable terms, which can be affected by various factors, including credit ratings, changes in interest rates, compliance with regulatory requirements, compliance with the terms and conditions of our outstanding indebtedness and general market and economic conditions; and </w:t>
      </w:r>
    </w:p>
    <w:p>
      <w:pPr>
        <w:pStyle w:val="TextBody"/>
        <w:bidi w:val="0"/>
        <w:spacing w:lineRule="auto" w:line="288" w:before="160" w:after="283"/>
        <w:ind w:left="0" w:right="0" w:hanging="360"/>
        <w:jc w:val="left"/>
        <w:rPr/>
      </w:pPr>
      <w:r>
        <w:rPr>
          <w:color w:val="000000"/>
        </w:rPr>
        <w:t>•</w:t>
      </w:r>
      <w:r>
        <w:rPr>
          <w:rFonts w:ascii="Times New Roman;serif" w:hAnsi="Times New Roman;serif"/>
          <w:b w:val="false"/>
          <w:color w:val="000000"/>
          <w:sz w:val="20"/>
        </w:rPr>
        <w:t xml:space="preserve">legislative and general market and economic developments. </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These risks, uncertainties and other factors may cause the actual results, performance or achievements of H2O America to be materially different from any future results, performance or achievements expressed or implied by such forward-looking statements.</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Results for a quarter are not indicative of results for a full year due to seasonality and other factors. In addition, actual results, performance or achievements are subject to other risks and uncertainties that relate more broadly to our overall business, including those more fully described in our filings with the SEC, including our most recent reports on Form 10-K, Form 10-Q and Form 8-K. Forward-looking statements are not guarantees of future performance, and speak only as of the date made, and we undertake no obligation to publicly update or revise any forward-looking statement, whether as a result of new information, future events or otherwise, except as required by law.</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May 2025, the Company changed the corporate name from SJW Group to H2O America. We will not distinguish between our prior and current corporate name and will refer to our current corporate name throughout this quarterly report on Form 10-Q. As such, unless expressly indicated or the context requires otherwise, the terms “H2O America,” “company,” “we,” “us,” and “our” in this document refer to H2O America, a Delaware corporation, and, where appropriate, its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7762667f04184357860c74f0caa907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1.FINANCIAL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H2O America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0" w:after="0"/>
        <w:jc w:val="left"/>
        <w:rPr>
          <w:color w:val="000000"/>
        </w:rPr>
      </w:pPr>
      <w:r>
        <w:rPr>
          <w:color w:val="000000"/>
        </w:rPr>
        <w:t> </w:t>
      </w:r>
    </w:p>
    <w:tbl>
      <w:tblPr>
        <w:tblW w:w="7913" w:type="dxa"/>
        <w:jc w:val="left"/>
        <w:tblInd w:w="0" w:type="dxa"/>
        <w:tblLayout w:type="fixed"/>
        <w:tblCellMar>
          <w:top w:w="28" w:type="dxa"/>
          <w:left w:w="28" w:type="dxa"/>
          <w:bottom w:w="28" w:type="dxa"/>
          <w:right w:w="28" w:type="dxa"/>
        </w:tblCellMar>
      </w:tblPr>
      <w:tblGrid>
        <w:gridCol w:w="1588"/>
        <w:gridCol w:w="1390"/>
        <w:gridCol w:w="1401"/>
        <w:gridCol w:w="276"/>
        <w:gridCol w:w="1081"/>
        <w:gridCol w:w="142"/>
        <w:gridCol w:w="142"/>
        <w:gridCol w:w="142"/>
        <w:gridCol w:w="142"/>
        <w:gridCol w:w="540"/>
        <w:gridCol w:w="541"/>
        <w:gridCol w:w="156"/>
        <w:gridCol w:w="109"/>
        <w:gridCol w:w="109"/>
        <w:gridCol w:w="154"/>
      </w:tblGrid>
      <w:tr>
        <w:trPr/>
        <w:tc>
          <w:tcPr>
            <w:tcW w:w="1588"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Operating revenue</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183,293 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167,599 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Operating expense:</w:t>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Production expenses:</w:t>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Purchased water</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26,945 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Groundwater extraction charges</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23,209 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production expenses</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production expenses</w:t>
            </w:r>
          </w:p>
        </w:tc>
        <w:tc>
          <w:tcPr>
            <w:tcW w:w="13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66,424 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58,967 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Administrative and general</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29,807 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Maintenance</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taxes and other non-income taxes</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32,306 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operating expense</w:t>
            </w:r>
          </w:p>
        </w:tc>
        <w:tc>
          <w:tcPr>
            <w:tcW w:w="13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145,867 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131,703 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Operating income</w:t>
            </w:r>
          </w:p>
        </w:tc>
        <w:tc>
          <w:tcPr>
            <w:tcW w:w="13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37,426 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35,896 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Other (expense) income:</w:t>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long-term debt and other interest expense</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(18,838)</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(18,272)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Pension non-service credit</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13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22,406 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20,022 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income</w:t>
            </w:r>
          </w:p>
        </w:tc>
        <w:tc>
          <w:tcPr>
            <w:tcW w:w="13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19,013 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loss, net</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Comprehensive income</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19,013 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Earnings per share</w:t>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Basic</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r>
              <w:rPr>
                <w:rFonts w:ascii="Times New Roman;serif" w:hAnsi="Times New Roman;serif"/>
                <w:b w:val="false"/>
                <w:color w:val="000000"/>
                <w:sz w:val="20"/>
              </w:rPr>
              <w:t>Diluted</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Dividends per share</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Weighted average shares outstanding</w:t>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r>
              <w:rPr>
                <w:rFonts w:ascii="Times New Roman;serif" w:hAnsi="Times New Roman;serif"/>
                <w:b w:val="false"/>
                <w:color w:val="000000"/>
                <w:sz w:val="20"/>
              </w:rPr>
              <w:t>Basic</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37,931,742 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33,778,792 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r>
              <w:rPr>
                <w:rFonts w:ascii="Times New Roman;serif" w:hAnsi="Times New Roman;serif"/>
                <w:b w:val="false"/>
                <w:color w:val="000000"/>
                <w:sz w:val="20"/>
              </w:rPr>
              <w:t>Diluted</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38,549,353 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33,868,565 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7762667f04184357860c74f0caa907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H2O America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633"/>
        <w:gridCol w:w="2267"/>
        <w:gridCol w:w="2268"/>
        <w:gridCol w:w="211"/>
        <w:gridCol w:w="976"/>
        <w:gridCol w:w="109"/>
        <w:gridCol w:w="109"/>
        <w:gridCol w:w="109"/>
        <w:gridCol w:w="109"/>
        <w:gridCol w:w="487"/>
        <w:gridCol w:w="489"/>
        <w:gridCol w:w="438"/>
      </w:tblGrid>
      <w:tr>
        <w:trPr/>
        <w:tc>
          <w:tcPr>
            <w:tcW w:w="2633" w:type="dxa"/>
            <w:tcBorders/>
            <w:vAlign w:val="center"/>
          </w:tcPr>
          <w:p>
            <w:pPr>
              <w:pStyle w:val="TableContents"/>
              <w:bidi w:val="0"/>
              <w:spacing w:before="0" w:after="283"/>
              <w:jc w:val="left"/>
              <w:rPr>
                <w:sz w:val="4"/>
                <w:szCs w:val="4"/>
              </w:rPr>
            </w:pPr>
            <w:r>
              <w:rPr>
                <w:sz w:val="4"/>
                <w:szCs w:val="4"/>
              </w:rPr>
            </w:r>
          </w:p>
        </w:tc>
        <w:tc>
          <w:tcPr>
            <w:tcW w:w="2267" w:type="dxa"/>
            <w:tcBorders/>
            <w:vAlign w:val="center"/>
          </w:tcPr>
          <w:p>
            <w:pPr>
              <w:pStyle w:val="TableContents"/>
              <w:bidi w:val="0"/>
              <w:spacing w:before="0" w:after="283"/>
              <w:jc w:val="left"/>
              <w:rPr>
                <w:sz w:val="4"/>
                <w:szCs w:val="4"/>
              </w:rPr>
            </w:pPr>
            <w:r>
              <w:rPr>
                <w:sz w:val="4"/>
                <w:szCs w:val="4"/>
              </w:rPr>
            </w:r>
          </w:p>
        </w:tc>
        <w:tc>
          <w:tcPr>
            <w:tcW w:w="22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r>
      <w:tr>
        <w:trPr/>
        <w:tc>
          <w:tcPr>
            <w:tcW w:w="7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Utility plant:</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44,600 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Depreciable plant and equipment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4,785,471 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4,688,644 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Construction work in progress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269,272 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51,683 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utility plant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5,138,827 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5,054,199 </w:t>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1,120,232 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utility plant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3,998,584 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3,933,967 </w:t>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Nonutility properties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nonutility properties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1,580 </w:t>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Current assets: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20,686 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Customers, net of allowances for credit losses of $748 and $722 on March 31, 2026 and December 31, 2025,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62,471 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2,720 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7,710 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Accrued unbilled revenue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68,971 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11,634 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Current regulatory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8,315 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8,086 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323,414 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190,593 </w:t>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Other assets:</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Regulatory assets, less current portion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246,547 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19,711 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Postretirement benefit plans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80,967 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640,311 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35,890 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1,029,244 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1,023,426 </w:t>
            </w:r>
          </w:p>
        </w:tc>
        <w:tc>
          <w:tcPr>
            <w:tcW w:w="4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5,353,304 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5,149,566 </w:t>
            </w:r>
          </w:p>
        </w:tc>
        <w:tc>
          <w:tcPr>
            <w:tcW w:w="4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Unaudited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7762667f04184357860c74f0caa907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H2O America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620"/>
        <w:gridCol w:w="2280"/>
        <w:gridCol w:w="2291"/>
        <w:gridCol w:w="211"/>
        <w:gridCol w:w="976"/>
        <w:gridCol w:w="109"/>
        <w:gridCol w:w="109"/>
        <w:gridCol w:w="109"/>
        <w:gridCol w:w="109"/>
        <w:gridCol w:w="488"/>
        <w:gridCol w:w="488"/>
        <w:gridCol w:w="415"/>
      </w:tblGrid>
      <w:tr>
        <w:trPr/>
        <w:tc>
          <w:tcPr>
            <w:tcW w:w="2620" w:type="dxa"/>
            <w:tcBorders/>
            <w:vAlign w:val="center"/>
          </w:tcPr>
          <w:p>
            <w:pPr>
              <w:pStyle w:val="TableContents"/>
              <w:bidi w:val="0"/>
              <w:spacing w:before="0" w:after="283"/>
              <w:jc w:val="left"/>
              <w:rPr>
                <w:sz w:val="4"/>
                <w:szCs w:val="4"/>
              </w:rPr>
            </w:pPr>
            <w:r>
              <w:rPr>
                <w:sz w:val="4"/>
                <w:szCs w:val="4"/>
              </w:rPr>
            </w:r>
          </w:p>
        </w:tc>
        <w:tc>
          <w:tcPr>
            <w:tcW w:w="2280" w:type="dxa"/>
            <w:tcBorders/>
            <w:vAlign w:val="center"/>
          </w:tcPr>
          <w:p>
            <w:pPr>
              <w:pStyle w:val="TableContents"/>
              <w:bidi w:val="0"/>
              <w:spacing w:before="0" w:after="283"/>
              <w:jc w:val="left"/>
              <w:rPr>
                <w:sz w:val="4"/>
                <w:szCs w:val="4"/>
              </w:rPr>
            </w:pPr>
            <w:r>
              <w:rPr>
                <w:sz w:val="4"/>
                <w:szCs w:val="4"/>
              </w:rPr>
            </w:r>
          </w:p>
        </w:tc>
        <w:tc>
          <w:tcPr>
            <w:tcW w:w="22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7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Capitalization and liabilities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Capitalization:</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authorized 70,000,000 shares; issued and outstanding shares 41,839,540 on March 31, 2026 and 36,118,242 on December 31, 2025</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958,188 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581,080 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1,834,082 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1,540,771 </w:t>
            </w:r>
          </w:p>
        </w:tc>
        <w:tc>
          <w:tcPr>
            <w:tcW w:w="4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less current portion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1,865,513 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1,866,819 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capitalization</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3,699,595 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3,407,590 </w:t>
            </w:r>
          </w:p>
        </w:tc>
        <w:tc>
          <w:tcPr>
            <w:tcW w:w="4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Lines of credit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86,834 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23,504 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groundwater extraction charges, purchased water and power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29,321 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75,427 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18,241 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19,109 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r>
      <w:tr>
        <w:trPr/>
        <w:tc>
          <w:tcPr>
            <w:tcW w:w="719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20,942 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273,378 </w:t>
            </w:r>
          </w:p>
        </w:tc>
        <w:tc>
          <w:tcPr>
            <w:tcW w:w="4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Deferred income taxes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307,893 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Advances for construction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201,413 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Contributions in aid of construction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342,697 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Postretirement benefit plans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45,878 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Regulatory liabilities, less current portion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546,797 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Other noncurrent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23,920 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Commitments and contingencies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capitalization and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5,353,304 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5,149,566 </w:t>
            </w:r>
          </w:p>
        </w:tc>
        <w:tc>
          <w:tcPr>
            <w:tcW w:w="4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7762667f04184357860c74f0caa907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H2O America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before="0" w:after="0"/>
        <w:jc w:val="left"/>
        <w:rPr/>
      </w:pPr>
      <w:r>
        <w:rPr/>
      </w:r>
    </w:p>
    <w:tbl>
      <w:tblPr>
        <w:tblW w:w="10562" w:type="dxa"/>
        <w:jc w:val="left"/>
        <w:tblInd w:w="0" w:type="dxa"/>
        <w:tblLayout w:type="fixed"/>
        <w:tblCellMar>
          <w:top w:w="28" w:type="dxa"/>
          <w:left w:w="28" w:type="dxa"/>
          <w:bottom w:w="28" w:type="dxa"/>
          <w:right w:w="28" w:type="dxa"/>
        </w:tblCellMar>
      </w:tblPr>
      <w:tblGrid>
        <w:gridCol w:w="667"/>
        <w:gridCol w:w="296"/>
        <w:gridCol w:w="298"/>
        <w:gridCol w:w="540"/>
        <w:gridCol w:w="541"/>
        <w:gridCol w:w="231"/>
        <w:gridCol w:w="109"/>
        <w:gridCol w:w="109"/>
        <w:gridCol w:w="109"/>
        <w:gridCol w:w="214"/>
        <w:gridCol w:w="366"/>
        <w:gridCol w:w="111"/>
        <w:gridCol w:w="109"/>
        <w:gridCol w:w="109"/>
        <w:gridCol w:w="109"/>
        <w:gridCol w:w="488"/>
        <w:gridCol w:w="488"/>
        <w:gridCol w:w="291"/>
        <w:gridCol w:w="109"/>
        <w:gridCol w:w="109"/>
        <w:gridCol w:w="109"/>
        <w:gridCol w:w="413"/>
        <w:gridCol w:w="413"/>
        <w:gridCol w:w="251"/>
        <w:gridCol w:w="109"/>
        <w:gridCol w:w="109"/>
        <w:gridCol w:w="109"/>
        <w:gridCol w:w="405"/>
        <w:gridCol w:w="405"/>
        <w:gridCol w:w="406"/>
        <w:gridCol w:w="109"/>
        <w:gridCol w:w="109"/>
        <w:gridCol w:w="109"/>
        <w:gridCol w:w="109"/>
        <w:gridCol w:w="109"/>
        <w:gridCol w:w="109"/>
        <w:gridCol w:w="109"/>
        <w:gridCol w:w="109"/>
        <w:gridCol w:w="109"/>
        <w:gridCol w:w="488"/>
        <w:gridCol w:w="488"/>
        <w:gridCol w:w="473"/>
      </w:tblGrid>
      <w:tr>
        <w:trPr/>
        <w:tc>
          <w:tcPr>
            <w:tcW w:w="66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12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1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7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44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December 31, 2025</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36,118,242 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958,188 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581,080 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1,540,771 </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19,013 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restricted and deferred stock units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37,809 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23,112 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issuance, net of costs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5,660,377 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288,595 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288,601 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paid ($0.44 per share)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(15,912)</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(15,912)</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March 31, 2026</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41,839,540 </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1,248,402 </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584,171 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1,467 </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1,834,082 </w:t>
            </w:r>
          </w:p>
        </w:tc>
        <w:tc>
          <w:tcPr>
            <w:tcW w:w="4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r>
    </w:p>
    <w:tbl>
      <w:tblPr>
        <w:tblW w:w="10412" w:type="dxa"/>
        <w:jc w:val="center"/>
        <w:tblInd w:w="0" w:type="dxa"/>
        <w:tblLayout w:type="fixed"/>
        <w:tblCellMar>
          <w:top w:w="28" w:type="dxa"/>
          <w:left w:w="28" w:type="dxa"/>
          <w:bottom w:w="28" w:type="dxa"/>
          <w:right w:w="28" w:type="dxa"/>
        </w:tblCellMar>
      </w:tblPr>
      <w:tblGrid>
        <w:gridCol w:w="667"/>
        <w:gridCol w:w="296"/>
        <w:gridCol w:w="298"/>
        <w:gridCol w:w="540"/>
        <w:gridCol w:w="541"/>
        <w:gridCol w:w="231"/>
        <w:gridCol w:w="109"/>
        <w:gridCol w:w="109"/>
        <w:gridCol w:w="109"/>
        <w:gridCol w:w="214"/>
        <w:gridCol w:w="366"/>
        <w:gridCol w:w="111"/>
        <w:gridCol w:w="109"/>
        <w:gridCol w:w="109"/>
        <w:gridCol w:w="109"/>
        <w:gridCol w:w="413"/>
        <w:gridCol w:w="413"/>
        <w:gridCol w:w="291"/>
        <w:gridCol w:w="109"/>
        <w:gridCol w:w="109"/>
        <w:gridCol w:w="109"/>
        <w:gridCol w:w="413"/>
        <w:gridCol w:w="413"/>
        <w:gridCol w:w="251"/>
        <w:gridCol w:w="109"/>
        <w:gridCol w:w="109"/>
        <w:gridCol w:w="109"/>
        <w:gridCol w:w="405"/>
        <w:gridCol w:w="405"/>
        <w:gridCol w:w="406"/>
        <w:gridCol w:w="109"/>
        <w:gridCol w:w="109"/>
        <w:gridCol w:w="109"/>
        <w:gridCol w:w="109"/>
        <w:gridCol w:w="109"/>
        <w:gridCol w:w="109"/>
        <w:gridCol w:w="109"/>
        <w:gridCol w:w="109"/>
        <w:gridCol w:w="109"/>
        <w:gridCol w:w="488"/>
        <w:gridCol w:w="488"/>
        <w:gridCol w:w="473"/>
      </w:tblGrid>
      <w:tr>
        <w:trPr/>
        <w:tc>
          <w:tcPr>
            <w:tcW w:w="66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12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Other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Comprehensive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Income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1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7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44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December 31, 2024</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33,629,169 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827,796 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537,184 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1,366,974 </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16,551 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restricted and deferred stock units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31,587 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26,129 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issuance, net of costs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495,900 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26,545 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26,545 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paid ($0.42 per share)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(14,142)</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(14,142)</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March 31, 2025</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34,182,785 </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855,759 </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539,584 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1,960 </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1,397,337 </w:t>
            </w:r>
          </w:p>
        </w:tc>
        <w:tc>
          <w:tcPr>
            <w:tcW w:w="4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80" w:after="283"/>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7762667f04184357860c74f0caa907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H2O America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pPr>
      <w:r>
        <w:rPr>
          <w:rFonts w:ascii="Times New Roman;serif" w:hAnsi="Times New Roman;serif"/>
          <w:b/>
          <w:color w:val="000000"/>
          <w:sz w:val="20"/>
        </w:rPr>
        <w:t>(in thousands)</w:t>
      </w:r>
      <w:r>
        <w:rPr>
          <w:color w:val="000000"/>
        </w:rPr>
        <w:t xml:space="preserve"> </w:t>
      </w:r>
    </w:p>
    <w:tbl>
      <w:tblPr>
        <w:tblW w:w="10205" w:type="dxa"/>
        <w:jc w:val="center"/>
        <w:tblInd w:w="0" w:type="dxa"/>
        <w:tblLayout w:type="fixed"/>
        <w:tblCellMar>
          <w:top w:w="28" w:type="dxa"/>
          <w:left w:w="28" w:type="dxa"/>
          <w:bottom w:w="28" w:type="dxa"/>
          <w:right w:w="28" w:type="dxa"/>
        </w:tblCellMar>
      </w:tblPr>
      <w:tblGrid>
        <w:gridCol w:w="2752"/>
        <w:gridCol w:w="2358"/>
        <w:gridCol w:w="2367"/>
        <w:gridCol w:w="258"/>
        <w:gridCol w:w="971"/>
        <w:gridCol w:w="143"/>
        <w:gridCol w:w="143"/>
        <w:gridCol w:w="143"/>
        <w:gridCol w:w="143"/>
        <w:gridCol w:w="354"/>
        <w:gridCol w:w="356"/>
        <w:gridCol w:w="217"/>
      </w:tblGrid>
      <w:tr>
        <w:trPr/>
        <w:tc>
          <w:tcPr>
            <w:tcW w:w="2752" w:type="dxa"/>
            <w:tcBorders/>
            <w:vAlign w:val="center"/>
          </w:tcPr>
          <w:p>
            <w:pPr>
              <w:pStyle w:val="TableContents"/>
              <w:bidi w:val="0"/>
              <w:spacing w:before="0" w:after="283"/>
              <w:jc w:val="left"/>
              <w:rPr>
                <w:sz w:val="4"/>
                <w:szCs w:val="4"/>
              </w:rPr>
            </w:pPr>
            <w:r>
              <w:rPr>
                <w:sz w:val="4"/>
                <w:szCs w:val="4"/>
              </w:rPr>
            </w:r>
          </w:p>
        </w:tc>
        <w:tc>
          <w:tcPr>
            <w:tcW w:w="2358" w:type="dxa"/>
            <w:tcBorders/>
            <w:vAlign w:val="center"/>
          </w:tcPr>
          <w:p>
            <w:pPr>
              <w:pStyle w:val="TableContents"/>
              <w:bidi w:val="0"/>
              <w:spacing w:before="0" w:after="283"/>
              <w:jc w:val="left"/>
              <w:rPr>
                <w:sz w:val="4"/>
                <w:szCs w:val="4"/>
              </w:rPr>
            </w:pPr>
            <w:r>
              <w:rPr>
                <w:sz w:val="4"/>
                <w:szCs w:val="4"/>
              </w:rPr>
            </w:r>
          </w:p>
        </w:tc>
        <w:tc>
          <w:tcPr>
            <w:tcW w:w="236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74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74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activities:</w:t>
            </w:r>
          </w:p>
        </w:tc>
        <w:tc>
          <w:tcPr>
            <w:tcW w:w="1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income </w:t>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19,013 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16,551 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1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33,766 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29,631 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3,020 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1,210 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Allowance for equity funds used during construction</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(1,597)</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r>
      <w:tr>
        <w:trPr/>
        <w:tc>
          <w:tcPr>
            <w:tcW w:w="747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 net of acquired assets and liabilities</w:t>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and accrued unbilled utility revenue</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(742)</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5,355 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other current liabilities</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(10,034)</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(10,742)</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groundwater extraction charges, purchased water and power</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(1,390)</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(1,807)</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receivable and payable, and other accrued taxes</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4,962 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Postretirement benefits</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(2,028)</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(1,294)</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Regulatory assets and liabilities excluding cost of removal, income tax temporary differences and postretirement benefits</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noncurrent assets and noncurrent liabilities</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changes, net</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(6,240)</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(2,294)</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operating activities</w:t>
            </w:r>
          </w:p>
        </w:tc>
        <w:tc>
          <w:tcPr>
            <w:tcW w:w="12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43,706 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43,181 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Investing activities:</w:t>
            </w:r>
          </w:p>
        </w:tc>
        <w:tc>
          <w:tcPr>
            <w:tcW w:w="1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 to utility plant:</w:t>
            </w:r>
          </w:p>
        </w:tc>
        <w:tc>
          <w:tcPr>
            <w:tcW w:w="1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Company-funded</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(82,132)</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(77,461)</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Contributions in aid of construction</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(10,376)</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(6,884)</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to retire utility plant, net of salvage</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r>
      <w:tr>
        <w:trPr/>
        <w:tc>
          <w:tcPr>
            <w:tcW w:w="747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r>
      <w:tr>
        <w:trPr/>
        <w:tc>
          <w:tcPr>
            <w:tcW w:w="747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r>
      <w:tr>
        <w:trPr/>
        <w:tc>
          <w:tcPr>
            <w:tcW w:w="7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investing activities</w:t>
            </w:r>
          </w:p>
        </w:tc>
        <w:tc>
          <w:tcPr>
            <w:tcW w:w="12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(92,932)</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(84,759)</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Financing activities:</w:t>
            </w:r>
          </w:p>
        </w:tc>
        <w:tc>
          <w:tcPr>
            <w:tcW w:w="1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Borrowings from lines of credit</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66,923 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67,403 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Repayments of lines of credit</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(153,752)</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(33,938)</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borrowings</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long-term borrowings</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(16,258)</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(1,071)</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net of issuance costs</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288,601 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26,545 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paid</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(15,912)</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(14,142)</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r>
      <w:tr>
        <w:trPr/>
        <w:tc>
          <w:tcPr>
            <w:tcW w:w="7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Receipts of advances and contributions in aid of construction</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12,326 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9,838 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Refunds of advances for construction</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(991)</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changes, net</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financing activities</w:t>
            </w:r>
          </w:p>
        </w:tc>
        <w:tc>
          <w:tcPr>
            <w:tcW w:w="12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181,548 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54,160 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change in cash and cash equivalents</w:t>
            </w:r>
          </w:p>
        </w:tc>
        <w:tc>
          <w:tcPr>
            <w:tcW w:w="12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132,322 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12,582 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and cash equivalents, beginning of period</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20,686 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11,114 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r>
      <w:tr>
        <w:trPr/>
        <w:tc>
          <w:tcPr>
            <w:tcW w:w="747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r>
      <w:tr>
        <w:trPr/>
        <w:tc>
          <w:tcPr>
            <w:tcW w:w="7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and cash equivalents, end of period</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153,008 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23,696 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Cash paid (refunded) during the period for:</w:t>
            </w:r>
          </w:p>
        </w:tc>
        <w:tc>
          <w:tcPr>
            <w:tcW w:w="13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w:t>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15,790 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16,820 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Interest, net of amounts capitalized</w:t>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13,670 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15,567 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w:t>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(680)</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disclosure of non-cash activities:</w:t>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payables for additions to utility plant</w:t>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46,703 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37,724 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Utility property installed by developers</w:t>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999 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r>
      <w:tr>
        <w:trPr/>
        <w:tc>
          <w:tcPr>
            <w:tcW w:w="747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r>
      <w:tr>
        <w:trPr/>
        <w:tc>
          <w:tcPr>
            <w:tcW w:w="747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Unaudited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7762667f04184357860c74f0caa907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H2O AMERICA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MARCH 31, 2026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2160"/>
        <w:jc w:val="left"/>
        <w:rPr>
          <w:rFonts w:ascii="Times New Roman;serif" w:hAnsi="Times New Roman;serif"/>
          <w:b/>
          <w:color w:val="000000"/>
          <w:sz w:val="20"/>
        </w:rPr>
      </w:pPr>
      <w:r>
        <w:rPr>
          <w:rFonts w:ascii="Times New Roman;serif" w:hAnsi="Times New Roman;serif"/>
          <w:b/>
          <w:color w:val="000000"/>
          <w:sz w:val="20"/>
        </w:rPr>
        <w:t>Note 1.General</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the opinion of management, the accompanying unaudited condensed consolidated financial statements reflect all adjustments (consisting only of normal, recurring adjustments) necessary for a fair presentation of the results for the interim periods.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unaudited interim financial information has been prepared in accordance with accounting principles generally accepted in the United States of America and in accordance with the instructions for Form 10-Q and Rule 10-01 of Regulation S-X promulgated by the Securities and Exchange Commission (“SEC”). The Notes to Consolidated Financial Statements in H2O America’s 2025 Annual Report on Form 10-K, filed with the SEC on February 26, 2026, should be read in conjunction with the accompanying unaudited condensed consolidated financial statements.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H2O America is a holding company that conducts its business through the following wholly owned subsidiaries: San Jose Water Company (“SJWC”), H2O America TX Holdings, Inc., H2O America Land Company, H2O America NE LLC, and National Water Utility Service, LLC (“NWU”). H2O America TX Holdings, Inc. is a holding company for its wholly owned subsidiaries, SJWTX, Inc., doing business as The Texas Water Company (“TWC”), Texas Water Operation Services, LLC (“TWOS”) and Texas Water Resources, LLC (“TWR”). H2O America NE LLC is the holding company for Connecticut Water Service, Inc. (“CTWS”) whose wholly owned subsidiaries are The Connecticut Water Company (“CWC”), The Maine Water Company (“MWC”), New England Water Utility Services, Inc. (“NEWUS”), and Chester Realty, Inc. NWU is the contracting entity for shared services among the H2O America affiliates formed in October 2024. H2O America Risk Solutions, Inc. (“Risk Solutions”), is a captive insurance entity and wholly owned subsidiary of H2O America Inc., established in 2025 to manage certain insurance specific risks of the Company in addition to its use of traditional insurance products provided by its current insurance carriers. H2O America, through its subsidiaries, primarily provides water utility and other related services in California, Connecticut, Maine and Texas. H2O America has business in property management and real estate investment activity conducted by H2O America Land Company and Chester Realty, Inc.</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TWC also holds a 25% equity interest in Acequia Water Supply Corporation (“Acequia”). Acequia has been determined to be a variable interest entity within the scope of Accounting Standards Codification (“ASC”) Topic 810—“Consolidation” with TWC as the primary beneficiary. As a result, Acequia has been consolidated with TWC. </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Revenue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Water sales are seasonal in nature and influenced by weather conditions. The timing of precipitation and climatic conditions can cause seasonal water consumption by customers to vary significantly. Due to the seasonal nature of the water business, the operating results for interim periods are not indicative of the operating results for a 12-month period. Revenue is generally higher in the warm, dry summer months when water usage and sales are greater, and lower in the winter months when cooler temperatures and increased precipitation curtail water usage resulting in lower sales.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H2O America’s revenue components for the three months ended March 31, 2026 and 2025 are as follows: </w:t>
      </w:r>
    </w:p>
    <w:tbl>
      <w:tblPr>
        <w:tblW w:w="9578" w:type="dxa"/>
        <w:jc w:val="left"/>
        <w:tblInd w:w="0" w:type="dxa"/>
        <w:tblLayout w:type="fixed"/>
        <w:tblCellMar>
          <w:top w:w="28" w:type="dxa"/>
          <w:left w:w="28" w:type="dxa"/>
          <w:bottom w:w="28" w:type="dxa"/>
          <w:right w:w="28" w:type="dxa"/>
        </w:tblCellMar>
      </w:tblPr>
      <w:tblGrid>
        <w:gridCol w:w="2280"/>
        <w:gridCol w:w="2003"/>
        <w:gridCol w:w="2016"/>
        <w:gridCol w:w="276"/>
        <w:gridCol w:w="1081"/>
        <w:gridCol w:w="142"/>
        <w:gridCol w:w="142"/>
        <w:gridCol w:w="142"/>
        <w:gridCol w:w="142"/>
        <w:gridCol w:w="413"/>
        <w:gridCol w:w="413"/>
        <w:gridCol w:w="156"/>
        <w:gridCol w:w="109"/>
        <w:gridCol w:w="109"/>
        <w:gridCol w:w="154"/>
      </w:tblGrid>
      <w:tr>
        <w:trPr/>
        <w:tc>
          <w:tcPr>
            <w:tcW w:w="2280" w:type="dxa"/>
            <w:tcBorders/>
            <w:vAlign w:val="center"/>
          </w:tcPr>
          <w:p>
            <w:pPr>
              <w:pStyle w:val="TableContents"/>
              <w:bidi w:val="0"/>
              <w:spacing w:before="0" w:after="283"/>
              <w:jc w:val="left"/>
              <w:rPr>
                <w:sz w:val="4"/>
                <w:szCs w:val="4"/>
              </w:rPr>
            </w:pPr>
            <w:r>
              <w:rPr>
                <w:sz w:val="4"/>
                <w:szCs w:val="4"/>
              </w:rPr>
            </w:r>
          </w:p>
        </w:tc>
        <w:tc>
          <w:tcPr>
            <w:tcW w:w="2003" w:type="dxa"/>
            <w:tcBorders/>
            <w:vAlign w:val="center"/>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contracts with customers</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179,322 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Alternative revenue programs, net</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balancing and memorandum accounts and regulatory mechanisms, net</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income</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183,293 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167,599 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7762667f04184357860c74f0caa907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H2O AMERICA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MARCH 31, 2026 </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 xml:space="preserve">Nonutility Properties </w:t>
      </w:r>
    </w:p>
    <w:p>
      <w:pPr>
        <w:pStyle w:val="TextBody"/>
        <w:bidi w:val="0"/>
        <w:spacing w:lineRule="auto" w:line="288" w:before="120" w:after="283"/>
        <w:jc w:val="left"/>
        <w:rPr/>
      </w:pPr>
      <w:r>
        <w:rPr>
          <w:rFonts w:ascii="Times New Roman;serif" w:hAnsi="Times New Roman;serif"/>
          <w:b w:val="false"/>
          <w:color w:val="000000"/>
          <w:sz w:val="20"/>
        </w:rPr>
        <w:t>The major components of nonutility properties as of March 31, 2026 and December 31, 2025 are as follows:</w:t>
      </w:r>
      <w:r>
        <w:rPr>
          <w:color w:val="000000"/>
        </w:rPr>
        <w:t> </w:t>
      </w:r>
    </w:p>
    <w:tbl>
      <w:tblPr>
        <w:tblW w:w="6512" w:type="dxa"/>
        <w:jc w:val="left"/>
        <w:tblInd w:w="0" w:type="dxa"/>
        <w:tblLayout w:type="fixed"/>
        <w:tblCellMar>
          <w:top w:w="28" w:type="dxa"/>
          <w:left w:w="28" w:type="dxa"/>
          <w:bottom w:w="28" w:type="dxa"/>
          <w:right w:w="28" w:type="dxa"/>
        </w:tblCellMar>
      </w:tblPr>
      <w:tblGrid>
        <w:gridCol w:w="1488"/>
        <w:gridCol w:w="1304"/>
        <w:gridCol w:w="1317"/>
        <w:gridCol w:w="211"/>
        <w:gridCol w:w="616"/>
        <w:gridCol w:w="109"/>
        <w:gridCol w:w="109"/>
        <w:gridCol w:w="109"/>
        <w:gridCol w:w="109"/>
        <w:gridCol w:w="334"/>
        <w:gridCol w:w="334"/>
        <w:gridCol w:w="472"/>
      </w:tblGrid>
      <w:tr>
        <w:trPr/>
        <w:tc>
          <w:tcPr>
            <w:tcW w:w="1488"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improvements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1,580 </w:t>
            </w:r>
          </w:p>
        </w:tc>
        <w:tc>
          <w:tcPr>
            <w:tcW w:w="4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Fair Value Measurement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instruments are not measured at fair value on H2O America’s condensed consolidated balance sheets as of March 31, 2026, but require disclosure of their fair values: cash and cash equivalents, accounts receivable and accounts payable. The estimated fair value of such instruments as of March 31, 2026 approximates their carrying value as reported on the condensed consolidated balance sheets. There have been no changes in valuation techniques during the three months ended March 31, 2026. The fair value of these instruments would be categorized as Level 2 in the fair value hierarchy, with the exception of cash and cash equivalents, which would be categorized as Level 1.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fair value of H2O America’s long-term debt was $1,666.7 million and $1,716.6 million as of March 31, 2026 and December 31, 2025, respectively, and was determined using a discounted cash flow analysis, based on the current rates for similar financial instruments of the same duration and creditworthiness of the company. Of the total fair value of long-term debt at March 31, 2026 and December 31, 2025, $1,648.8 million and $1,715.6 million, respectively, would be categorized as Level 2 in the fair value hierarchy and $17.8 million and $1.0 million, respectively, would be categorized as Level 3 in the fair value hierarchy.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CTWS’s additional retirement benefits under the supplemental executive retirement plans and retirement contracts are funded by investment assets held by a Rabbi Trust. The fair value of the money market funds, mutual funds and fixed income investments in the Rabbi Trust was $2.7 million and $2.8 million as of March 31, 2026 and December 31, 2025, respectively, and are categorized as Level 1 in the fair value hierarchy.</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Earnings per Share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share is calculated using income available to common stockholders, divided by the weighted average number of shares outstanding during the period. Diluted earnings per share is calculated using the treasury stock method which comprises income available to common stockholders divided by the weighted average number of shares of common stock including both shares outstanding and shares potentially issuable in connection with restricted common stock awards under H2O America’s long-term incentive plans, and shares potentially issuable under the equity forward purchase agreements granted to investors in the equity offering discussed further in Note 3 “Capitalization” to these condensed consolidated financial statements. For the three months ended March 31, 2026 and 2025, 962 and 37,791 anti-dilutive restricted common stock units were excluded from the diluted earnings per share calculation, respectively.</w:t>
      </w:r>
    </w:p>
    <w:p>
      <w:pPr>
        <w:pStyle w:val="TextBody"/>
        <w:bidi w:val="0"/>
        <w:spacing w:before="20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7762667f04184357860c74f0caa907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H2O AMERICA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MARCH 31, 2026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New Accounting Standards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recently issued accounting standards that have not yet been adopted by the company as of March 31, 2026 are as follows:</w:t>
      </w:r>
    </w:p>
    <w:tbl>
      <w:tblPr>
        <w:tblW w:w="10205" w:type="dxa"/>
        <w:jc w:val="left"/>
        <w:tblInd w:w="0" w:type="dxa"/>
        <w:tblLayout w:type="fixed"/>
        <w:tblCellMar>
          <w:top w:w="28" w:type="dxa"/>
          <w:left w:w="28" w:type="dxa"/>
          <w:bottom w:w="28" w:type="dxa"/>
          <w:right w:w="28" w:type="dxa"/>
        </w:tblCellMar>
      </w:tblPr>
      <w:tblGrid>
        <w:gridCol w:w="1058"/>
        <w:gridCol w:w="506"/>
        <w:gridCol w:w="510"/>
        <w:gridCol w:w="109"/>
        <w:gridCol w:w="109"/>
        <w:gridCol w:w="109"/>
        <w:gridCol w:w="890"/>
        <w:gridCol w:w="890"/>
        <w:gridCol w:w="898"/>
        <w:gridCol w:w="109"/>
        <w:gridCol w:w="109"/>
        <w:gridCol w:w="109"/>
        <w:gridCol w:w="495"/>
        <w:gridCol w:w="422"/>
        <w:gridCol w:w="424"/>
        <w:gridCol w:w="109"/>
        <w:gridCol w:w="109"/>
        <w:gridCol w:w="109"/>
        <w:gridCol w:w="412"/>
        <w:gridCol w:w="412"/>
        <w:gridCol w:w="416"/>
        <w:gridCol w:w="109"/>
        <w:gridCol w:w="109"/>
        <w:gridCol w:w="109"/>
        <w:gridCol w:w="455"/>
        <w:gridCol w:w="455"/>
        <w:gridCol w:w="654"/>
      </w:tblGrid>
      <w:tr>
        <w:trPr/>
        <w:tc>
          <w:tcPr>
            <w:tcW w:w="1058"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r>
      <w:tr>
        <w:trPr/>
        <w:tc>
          <w:tcPr>
            <w:tcW w:w="2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Standard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Date of Adoption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Application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Effect on the Condensed Consolidated Financial Statements</w:t>
            </w:r>
          </w:p>
        </w:tc>
      </w:tr>
      <w:tr>
        <w:trPr/>
        <w:tc>
          <w:tcPr>
            <w:tcW w:w="20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 2024-03 “Disaggregation of Income Statement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ASU requires disclosure, in the notes to the financial statements, of specified information about certain costs and expenses. The ASU requires disclosure of purchases of inventory, employee compensation, depreciation, and intangible asset amortization in interim and annual reporting periods. Further, other amounts already required to be disclosed in accordance with current U.S. GAAP would be included in the same disclosure as the other disaggregation requirements. Additionally, the ASU requires qualitative descriptions of amounts remaining in relevant expense captions that are not separately disaggregated quantitatively as well as disclosure of selling expenses in annual periods and an entity’s definition of selling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ASU is effective for H2O America for its annual financial statements for the year ending December 31, 2027 and for interim reporting periods for the year ending December 31, 2028. Early adoption is permitted.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Prospective, with retrospective application also permitted.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standard is expected to only result in updates to disclosure and is not expected to have a material impact on the Company’s financial position and results of operations.</w:t>
            </w:r>
          </w:p>
        </w:tc>
      </w:tr>
      <w:tr>
        <w:trPr/>
        <w:tc>
          <w:tcPr>
            <w:tcW w:w="2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 2025-06 “Intangibles-Goodwill and Other-Internal-Use Software (subtopic 350-40)”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ASU updates the accounting for internal-use software by removing project stage references and introduces a new capitalization threshold based on management authorization and project completion probability. The guidance requires evaluation of significant development uncertainty, including novel functionality and unresolved performance requirements. ASU 2025-06 clarifies that capitalized internal-use software costs are subject to the property, plant and equipment disclosure requirements under ASC 360-10.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ASU is effective for H2O America for its annual financial statements for the year ending December 31, 2028 and for interim reporting periods for the year ending December 31,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Prospective, with retrospective application also permitted.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H2O America is currently evaluating the impact of ASU 2025-06 on its financial statements and will adopt ASU 2025-06 in fiscal year ended December 31, 2028.</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7762667f04184357860c74f0caa907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H2O AMERICA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MARCH 31, 2026 </w:t>
      </w:r>
    </w:p>
    <w:tbl>
      <w:tblPr>
        <w:tblW w:w="10205" w:type="dxa"/>
        <w:jc w:val="left"/>
        <w:tblInd w:w="0" w:type="dxa"/>
        <w:tblLayout w:type="fixed"/>
        <w:tblCellMar>
          <w:top w:w="28" w:type="dxa"/>
          <w:left w:w="28" w:type="dxa"/>
          <w:bottom w:w="28" w:type="dxa"/>
          <w:right w:w="28" w:type="dxa"/>
        </w:tblCellMar>
      </w:tblPr>
      <w:tblGrid>
        <w:gridCol w:w="467"/>
        <w:gridCol w:w="411"/>
        <w:gridCol w:w="415"/>
        <w:gridCol w:w="109"/>
        <w:gridCol w:w="109"/>
        <w:gridCol w:w="109"/>
        <w:gridCol w:w="1037"/>
        <w:gridCol w:w="1037"/>
        <w:gridCol w:w="1047"/>
        <w:gridCol w:w="109"/>
        <w:gridCol w:w="109"/>
        <w:gridCol w:w="109"/>
        <w:gridCol w:w="495"/>
        <w:gridCol w:w="437"/>
        <w:gridCol w:w="439"/>
        <w:gridCol w:w="109"/>
        <w:gridCol w:w="109"/>
        <w:gridCol w:w="109"/>
        <w:gridCol w:w="477"/>
        <w:gridCol w:w="477"/>
        <w:gridCol w:w="482"/>
        <w:gridCol w:w="109"/>
        <w:gridCol w:w="109"/>
        <w:gridCol w:w="109"/>
        <w:gridCol w:w="488"/>
        <w:gridCol w:w="488"/>
        <w:gridCol w:w="700"/>
      </w:tblGrid>
      <w:tr>
        <w:trPr/>
        <w:tc>
          <w:tcPr>
            <w:tcW w:w="46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r>
      <w:tr>
        <w:trPr/>
        <w:tc>
          <w:tcPr>
            <w:tcW w:w="12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Standard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Date of Adoption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Application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Effect on the Condensed Consolidated Financial Statements</w:t>
            </w:r>
          </w:p>
        </w:tc>
      </w:tr>
      <w:tr>
        <w:trPr/>
        <w:tc>
          <w:tcPr>
            <w:tcW w:w="12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 2025-10 “Government Grants (Topic 832)”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ASU establishes accounting for government grants received by business entities and includes guidance for (1) a grant related to an asset and (2) a grant related to income. The ASU requires that a government grant should not be recognized until it is probable that a business entity will comply with the conditions attached to the grant and the grant will be received. Additionally, the ASU requires that a grant related to an asset be recognized on the balance sheet as the business entity incurs the related costs for which the grant is intended to compensate either as deferred income or an adjustment to the cost basis of the related asset. A grant related to income or a grant recognized as deferred income should be recognized in earnings on a systematic and rational basis over the periods in which the related costs are incurred that the grant is intended to compensate.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ASU is effective for H2O America for annual reporting periods beginning after December 15, 2028 and interim reporting periods within those annual reporting periods. Early adoption is permitted.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Retrospective adoption with modified prospective and modified retrospective application also permitted.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H2O America is currently evaluating the impact of ASU 2025-10 on its financial statements and will adopt ASU 2025-10 in fiscal year ended December 31, 2029.</w:t>
            </w:r>
          </w:p>
        </w:tc>
      </w:tr>
      <w:tr>
        <w:trPr/>
        <w:tc>
          <w:tcPr>
            <w:tcW w:w="1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 2025-11 “Interim Reporting (Topic 270)”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ASU provides clarity about the current requirements, rather than an evaluation of whether to expand or reduce interim disclosure requirements. The ASU includes a disclosure principle that requires entities to disclose events since the end of the last annual reporting period that have a material impact on the entity. The intent of the disclosure principle, which is modeled after a previous SEC disclosure requirement, is to help entities determine whether disclosures not specified in Topic 270 should be provided in interim reporting periods.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ASU is effective for H2O America for interim reporting periods within annual reporting periods beginning after December 15, 2027. Early adoption is permitted.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Prospective, with retrospective application also permitted.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H2O America is currently evaluating the disclosure impact of ASU 2025-11; however, the standard is not expected to impact the consolidated financial position, results of operations or cash flows.</w:t>
            </w:r>
          </w:p>
        </w:tc>
      </w:tr>
    </w:tbl>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7762667f04184357860c74f0caa907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H2O AMERICA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MARCH 31, 2026 </w:t>
      </w:r>
    </w:p>
    <w:p>
      <w:pPr>
        <w:pStyle w:val="TextBody"/>
        <w:bidi w:val="0"/>
        <w:spacing w:lineRule="auto" w:line="288" w:before="0" w:after="0"/>
        <w:ind w:left="0" w:right="0" w:hanging="2160"/>
        <w:jc w:val="left"/>
        <w:rPr>
          <w:rFonts w:ascii="Times New Roman;serif" w:hAnsi="Times New Roman;serif"/>
          <w:b/>
          <w:color w:val="000000"/>
          <w:sz w:val="20"/>
        </w:rPr>
      </w:pPr>
      <w:r>
        <w:rPr>
          <w:rFonts w:ascii="Times New Roman;serif" w:hAnsi="Times New Roman;serif"/>
          <w:b/>
          <w:color w:val="000000"/>
          <w:sz w:val="20"/>
        </w:rPr>
        <w:t>Note 2.Regulatory Matters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Regulatory assets and liabilities are comprised of the following as of March 31, 2026 and December 31, 2025:</w:t>
      </w:r>
    </w:p>
    <w:tbl>
      <w:tblPr>
        <w:tblW w:w="8740" w:type="dxa"/>
        <w:jc w:val="left"/>
        <w:tblInd w:w="0" w:type="dxa"/>
        <w:tblLayout w:type="fixed"/>
        <w:tblCellMar>
          <w:top w:w="28" w:type="dxa"/>
          <w:left w:w="28" w:type="dxa"/>
          <w:bottom w:w="28" w:type="dxa"/>
          <w:right w:w="28" w:type="dxa"/>
        </w:tblCellMar>
      </w:tblPr>
      <w:tblGrid>
        <w:gridCol w:w="2031"/>
        <w:gridCol w:w="1786"/>
        <w:gridCol w:w="1793"/>
        <w:gridCol w:w="232"/>
        <w:gridCol w:w="908"/>
        <w:gridCol w:w="119"/>
        <w:gridCol w:w="109"/>
        <w:gridCol w:w="109"/>
        <w:gridCol w:w="109"/>
        <w:gridCol w:w="452"/>
        <w:gridCol w:w="452"/>
        <w:gridCol w:w="640"/>
      </w:tblGrid>
      <w:tr>
        <w:trPr/>
        <w:tc>
          <w:tcPr>
            <w:tcW w:w="2031"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5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Regulatory assets:</w:t>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temporary differences (a) (p)</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206,452 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204,384 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Monterey Water Revenue Adjustment Mechanism (“MWRAM”) (b)</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8,553 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Business combinations debt premium (c) (p)</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9,772 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Employee benefit costs (d) (p)</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5,823 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Catastrophic event memorandum accounts (“CEMA”) (e)</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Revenue adjustment mechanisms (f) (p)</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7,931 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Customer Assistance Program (“CAP”) balancing account (g)</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3,696 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561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Water supply costs (h)</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13,729 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regulatory assets</w:t>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254,388 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254,862 </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current regulatory assets (j)</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8,315 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regulatory assets, less current portion</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246,540 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246,547 </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Regulatory liabilities:</w:t>
            </w:r>
          </w:p>
        </w:tc>
        <w:tc>
          <w:tcPr>
            <w:tcW w:w="12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removal (k)</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402,814 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394,391 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Future income tax benefits due to customers (l)</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82,007 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82,285 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Unrecognized pensions and other postretirement benefits (m)</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30,458 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32,996 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160" w:after="283"/>
              <w:jc w:val="left"/>
              <w:rPr>
                <w:rFonts w:ascii="Times New Roman;serif" w:hAnsi="Times New Roman;serif"/>
                <w:b w:val="false"/>
                <w:color w:val="000000"/>
                <w:sz w:val="20"/>
              </w:rPr>
            </w:pPr>
            <w:r>
              <w:rPr>
                <w:rFonts w:ascii="Times New Roman;serif" w:hAnsi="Times New Roman;serif"/>
                <w:b w:val="false"/>
                <w:color w:val="000000"/>
                <w:sz w:val="20"/>
              </w:rPr>
              <w:t>Per- and Polyfluoroalkyl substances legal settlement proceeds (n)</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25,070 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24,682 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benefit costs (d)</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8,771 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Water supply costs (h)</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(o)</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3,672 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regulatory liabilities</w:t>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556,379 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546,797 </w:t>
            </w:r>
          </w:p>
        </w:tc>
        <w:tc>
          <w:tcPr>
            <w:tcW w:w="6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regulatory liabilities, less current portion</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556,379 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546,797 </w:t>
            </w:r>
          </w:p>
        </w:tc>
        <w:tc>
          <w:tcPr>
            <w:tcW w:w="6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lineRule="auto" w:line="26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 xml:space="preserve">(a)Consists primarily of temporary income tax differences that are flowed through to customers, which will be recovered in future rates as these temporary differences reverse. The company expects to recover regulatory assets related to plant depreciation income tax temporary differences over the lives of the plant assets, which are between 5 to 100 years. </w:t>
      </w:r>
    </w:p>
    <w:p>
      <w:pPr>
        <w:pStyle w:val="TextBody"/>
        <w:bidi w:val="0"/>
        <w:spacing w:lineRule="auto" w:line="26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(b)MWRAM is described in the following section.</w:t>
      </w:r>
    </w:p>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(c)Consists of debt fair value adjustments recognized through purchase accounting for the completed merger with CTWS in 2019.</w:t>
      </w:r>
    </w:p>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(d)Includes deferrals of pension and other postretirement benefit expense and cost of accrued benefits for vacation, and group health insurance.</w:t>
      </w:r>
    </w:p>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(e)The CPUC (“California Public Utilities Commission”) has authorized water utilities to activate CEMA accounts in order to track savings and costs related to SJWC’s response to catastrophic events, which includes external labor and materials, increases in bad debt from suspension of shutoffs for non-payment, waived deposits and reconnection fees, and divergence from actual versus authorized usage. The balances primarily relate to expenses associated with SJWC’s response to COVID-19, including bad debt.</w:t>
      </w:r>
    </w:p>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 xml:space="preserve">(f)Primarily relates to Water Rate Adjustment mechanism (“WRA”). WRA and Water Conservation Memorandum Account (“WCMA”) are described in the following section. </w:t>
      </w:r>
    </w:p>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(g)Represents costs associated with SJWC’s CAP.</w:t>
      </w:r>
    </w:p>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(h)Reflects primarily SJWC’s Full Cost Balancing Account (“FCBA”), which tracks differences in actual water supply costs compared to amounts assumed in base rates, including applicable changes and variations in costs and quantities that affect the overall mix of the water supply.</w:t>
      </w:r>
    </w:p>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(i)Other includes other balancing and memorandum accounts and regulatory mechanisms, deferred costs for certain information technology activities, asset retirement obligations, tank painting, well reconditioning, rate case expenses and acquisition costs.</w:t>
      </w:r>
    </w:p>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(j)Primarily relates to SJWC’s balancing and memorandum account surcharge in accordance with Decision No. 24-12-077 and the current portion of CWC’s WRA, deferred well redevelopment, carbon filters and rate case costs.</w:t>
      </w:r>
    </w:p>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(k)Represents amounts collected in rates from customers for estimated costs to retire assets at the end of their expected useful lives before the costs are incurred.</w:t>
      </w:r>
    </w:p>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 xml:space="preserve">(l)On December 22, 2017, the Tax Cuts and Jobs Act of 2017 (the “Tax Act”) was signed into law. The Tax Act included a reduction in the federal income tax rate from 35% to 21%. The rate reduction was effective on January 1, 2018 and resulted in a regulatory liability for the excess deferred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7762667f04184357860c74f0caa907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H2O AMERICA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MARCH 31, 2026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income taxes. The benefit of amortization of excess deferred income taxes flows back to the customers under current normalization rules and agreed upon methods with the commissions. </w:t>
      </w:r>
    </w:p>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(m)Represents actuarial losses and gains and prior service cost that have not yet been recognized as components of net periodic benefit cost for certain pension and other postretirement benefit plans.</w:t>
      </w:r>
    </w:p>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(n)Primarily relates to legal settlements received by SJWC and CWC from ongoing PFAS water contamination litigation against manufacturers which will be used to offset future costs incurred, recorded as Contributions in Aid of Construction (“CIAC”), or returned to customers through future rates. The Water Contamination Litigation Memorandum Account (“WCLMA”) has been established to track net proceeds and costs resulting from water contamination litigation related to SJWC.</w:t>
      </w:r>
    </w:p>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(o)Primarily relates to MWC’s accrued tank painting costs.</w:t>
      </w:r>
    </w:p>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(p)Generally, not earning a return either by interest on the regulatory asset or as a component of rate base at the allowed rate of return.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SJWC has established balancing accounts for the purpose of tracking the under-collection or over-collection associated with expense changes and the revenue authorized by the California Public Utilities Commission (“CPUC”) to offset those expense changes. SJWC has been authorized for the use of the FCBA to track water supply costs and energy consumption. The MWRAM balancing account tracks the difference between the revenue received for actual metered sales through the tiered volumetric rate and the revenue that would have been received with the same actual metered sales if a uniform rate would have been in effect.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SJWC also maintains memorandum accounts to track impacts due to catastrophic events, certain unforeseen water quality expenses related to new federal and state water quality standards, energy efficiency, water conservation, water tariffs, and other approved activities or as directed by the CPUC. The WCLMA allows SJWC to track net proceeds and costs resulting from water contamination litigation. The WCMA allows SJWC to track lost revenue, net of related water costs, associated with reduced sales due to water conservation and associated calls for water use reductions, both mandatory and voluntary. SJWC records the lost revenue captured in the WCMA balancing accounts, including amounts related to a 20-basis point reduction in the authorized return on equity per the terms of the WCMA. Applicable drought surcharges collected are used to offset the revenue losses tracked in the WCMA. All balancing accounts and memorandum accounts not included for recovery or refund in the current general rate case will be reviewed by the CPUC in SJWC’s next general rate case or at the time an individual account balance reaches a threshold of 2% of authorized revenue, whichever occurs first. On December 19, 2024, the CPUC approved a final decision for rate increases, which approved a recovery of $15.8 million in balancing and memorandum accounts from customers through a 12-month surcharge effective January 1, 2025.</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CWC has been authorized by the Connecticut Public Utilities Regulatory Authority (“PURA”) to utilize a WRA, a decoupling mechanism, to mitigate risk associated with changes in demand. The WRA is used to reconcile actual water demands with the demands projected in the most recent general rate case and allows the company to implement a surcharge or sur-credit as necessary to recover or refund the revenues approved in the general rate case. The WRA allows the company to defer, as a regulatory asset or liability, the amount by which actual revenues deviate from the revenues allowed in the most recent general rate proceedings.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2160"/>
        <w:jc w:val="left"/>
        <w:rPr>
          <w:rFonts w:ascii="Times New Roman;serif" w:hAnsi="Times New Roman;serif"/>
          <w:b/>
          <w:color w:val="000000"/>
          <w:sz w:val="20"/>
        </w:rPr>
      </w:pPr>
      <w:r>
        <w:rPr>
          <w:rFonts w:ascii="Times New Roman;serif" w:hAnsi="Times New Roman;serif"/>
          <w:b/>
          <w:color w:val="000000"/>
          <w:sz w:val="20"/>
        </w:rPr>
        <w:t>Note 3.Capitalization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October 2024, H2O America entered into an equity distribution agreement (the “Equity Distribution Agreement”) with BofA Securities, Inc., J.P. Morgan Securities LLC, RBC Capital Markets, LLC and Wells Fargo Securities, LLC, pursuant to which the Company may offer and sell shares of its common stock, $0.001 par value per share, from time to time in “at-the-market” offerings, having an aggregate gross sales price of up to $200.0 million. For the three months ended March 31, 2026, H2O America did not issue or sell any shares of its common stock under the Equity Distribution Agreement and, accordingly, received no net proceeds therefrom; for the three months ended March 31, 2025, the Company issued and sold 495,900 shares of its common stock with a weighted average price of $53.87 per share, generating net proceeds of $26.5 million. Since the inception of the Equity Distribution Agreement, H2O America has issued and sold 2,763,359 shares of common stock at a weighted average price of $52.39 for total net proceeds of $143.0 million, and has $55.2 million of aggregate gross sales price of shares remaining to issue under the Equity Distribution Agreement as of March 31, 2026.</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March 2026, H2O America issued 3,937,654 shares of common stock in an underwritten offering pursuant to an Underwriting Agreement with J.P. Morgan Securities LLC and Wells Fargo Securities LLC, as representatives of several underwriters named in the Underwriting Agreement (the “Offering”). In connection with the Offering, H2O America entered into two-year forward purchase agreements to issue an additional 7,547,170 shares of common stock with an initial forward purchase price of $51.28 per share, subject to adjustment based on the overnight bank funding rate and expected dividend amounts due upon settlement through maturity in March 2028. The forward purchase agreements can be settled or net settled for delivery of physical shares or settled for cash at the option of H2O America. In addition, the underwriters in the Offering,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7762667f04184357860c74f0caa907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H2O AMERICA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MARCH 31, 2026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through the exercise of a 30-day overallotment option, purchased an additional 1,722,723 shares of common stock at a price of $51.28 per share. Total net proceeds to H2O America for the common stock offering were $290.2 million after deducting the underwriting discounts and before estimated offering expenses payable by H2O America of $1.6 million, which are recognized as a reduction of additional paid-in capital. The forward purchase agreements are indexed to H2O America’s common stock and qualify for equity classification. Accordingly, they are not remeasured for changes in the fair value of the Company’s common stock, and no related gains or losses are recognized in earnings.</w:t>
      </w:r>
    </w:p>
    <w:p>
      <w:pPr>
        <w:pStyle w:val="TextBody"/>
        <w:bidi w:val="0"/>
        <w:spacing w:before="0" w:after="0"/>
        <w:ind w:left="0" w:right="0" w:hanging="18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2160"/>
        <w:jc w:val="left"/>
        <w:rPr>
          <w:rFonts w:ascii="Times New Roman;serif" w:hAnsi="Times New Roman;serif"/>
          <w:b/>
          <w:color w:val="000000"/>
          <w:sz w:val="20"/>
        </w:rPr>
      </w:pPr>
      <w:r>
        <w:rPr>
          <w:rFonts w:ascii="Times New Roman;serif" w:hAnsi="Times New Roman;serif"/>
          <w:b/>
          <w:color w:val="000000"/>
          <w:sz w:val="20"/>
        </w:rPr>
        <w:t>Note 4.Lines of Credit and Long-Term Liabilities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H2O America’s contractual obligations and commitments include senior notes, bank term loans, revenue bonds, state revolving fund loans, lines of credit, and other obligations.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Lines of Credit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weighted average interest rate on short-term borrowings outstanding at March 31, 2026, was 4.71%, compared to 4.75% at December 31, 2025.</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March 31, 2026, the unused portion of the lines of credit was $370.0 million.</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Long-Term Debt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balance of long-term debt outstanding, net of unamortized debt issuance costs and debt premium and discount, as of March 31, 2026 and December 31, 2025 was $1,865.5 million and $1,866.8 million, respectively. The current portion of long-term debt as of March 31, 2026 and December 31, 2025 was $8.6 million and $23.5 million, respectively.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debt and credit agreements of H2O America and its subsidiaries contain various financial and other covenants. Non-compliance with these covenants could result in accelerated due dates and termination of the agreements. In addition, the debt and credit agreements contain customary representations and warranties and are subject to customary events of default, which may result in outstanding debt becoming immediately due and payable. As of March 31, 2026, H2O America and its subsidiaries were in compliance with all covenants related to its debt and credit agreements. </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2160"/>
        <w:jc w:val="left"/>
        <w:rPr/>
      </w:pPr>
      <w:r>
        <w:rPr>
          <w:rFonts w:ascii="Times New Roman;serif" w:hAnsi="Times New Roman;serif"/>
          <w:b/>
          <w:color w:val="000000"/>
          <w:sz w:val="20"/>
        </w:rPr>
        <w:t>Note 5.</w:t>
      </w:r>
      <w:r>
        <w:rPr>
          <w:rFonts w:ascii="Times New Roman;serif" w:hAnsi="Times New Roman;serif"/>
          <w:b/>
          <w:color w:val="000000"/>
          <w:sz w:val="20"/>
          <w:shd w:fill="FFFFFF" w:val="clear"/>
        </w:rPr>
        <w:t>Income Taxes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expense was $3.4 million and $3.5 million for the three months ended March 31, 2026 and 2025, respectively. The effective consolidated income tax rates were 15% and 17% for the three months ended March 31, 2026 and 2025, respectively. The lower effective tax rate for the three months ended March 31, 2026 was primarily due to higher flow through tax benefits.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H2O America had unrecognized tax benefits, before the impact of deductions of state taxes, excluding interest and penalties, of $4.4 million and $4.1 million as of March 31, 2026 and December 31, 2025, respectively.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July 4, 2025, Public Law No. 119-21, referred to as the One Big Beautiful Bill Act (“OBBBA”), was signed into law. The OBBBA contains several changes to corporate taxation including the extension of key provisions of the 2017 Tax Cuts and Jobs Act. The legislation has multiple effective dates, with certain provisions which were effective in 2025 and others phased in through tax year 2027. The legislation may be subject to further clarification and the issuance of interpretive guidance. The impact of the tax legislation was not material to the provision for income taxes and deferred tax balances for the first quarter of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2160"/>
        <w:jc w:val="left"/>
        <w:rPr>
          <w:rFonts w:ascii="Times New Roman;serif" w:hAnsi="Times New Roman;serif"/>
          <w:b/>
          <w:color w:val="000000"/>
          <w:sz w:val="20"/>
        </w:rPr>
      </w:pPr>
      <w:r>
        <w:rPr>
          <w:rFonts w:ascii="Times New Roman;serif" w:hAnsi="Times New Roman;serif"/>
          <w:b/>
          <w:color w:val="000000"/>
          <w:sz w:val="20"/>
        </w:rPr>
        <w:t>Note 6.Commitments and Contingencies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H2O America and its subsidiaries are subject to ordinary routine litigation incidental to its business.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October 2023, CWC, a subsidiary of H2O America, was named as a defendant in a putative class action lawsuit alleging that the water provided by CWC contained contaminants. The case is currently pending in the State of Connecticut Superior Court. CWC intends to vigorously defend itself in this lawsuit. H2O America is unable to provide a reasonable estimate of loss, if any, at this time.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SJWC and CWC are plaintiffs in a lawsuit against manufacturers of certain PFAS compounds for damages, contribution and reimbursement of costs incurred and continuing to be incurred to address the presence of such PFAS compounds in public water supply systems owned and operated by these utility subsidiaries and throughout their respective service areas. The lawsuit is part of an Multi-District Litigation (“MDL”) that commenced on December 7, 2018 in the United States District Court for the District of South Carolina. MWC has submitted timely claims as a settlement class member.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7762667f04184357860c74f0caa907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H2O AMERICA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MARCH 31, 2026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8, 2024, the MDL court approved settlements involving defendants The Chemours Company, Corteva, Inc., and DuPont de Nemours, Inc. to resolve claims brought in the MDL against them by public water systems, including SJWC and CWC. On March 29, 2024, the MDL court approved a similar settlement involving defendant 3M Company. On November 22, 2024, the MDL court approved settlements involving defendants Tyco Fire Products LP and BASF Corporation. H2O America is entitled to a portion of the settlements and is monitoring and evaluating the ongoing litigation and settlement activity with the PFAS manufacturers for potential impacts to the various claims that these utility subsidiaries have asserted.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the Company did not receive any cash proceeds in connection with legal settlements referred to above related to PFAS contamination. As of March 31, 2026, the Company has received aggregate cash proceeds of $25.1 million from MDL court approved settlements. The proceeds were allocated as follows: SJWC received $17 million; CWC received $7.6 million; and MWC received $0.5 million, which includes $0.3 million payable to contract operators. The proceeds are compensatory in nature and are intended to compensate the Company for costs incurred, or to be incurred, to address the presence of PFAS compounds in public water supply systems or to be refunded to customers through rate reductions, and have been recorded as a regulatory liability subject to regulatory approval.</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H2O America is entitled to receive additional cash proceeds from 3M Company in the subsequent eight years, pursuant to the terms of the settlement agreement. In addition, the Company is party to class action settlements with Tyco Fire Products LP and BASF Corporation.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H2O America is monitoring and evaluating the ongoing litigation and settlement activity with the PFAS manufacturers for potential impacts to the various claims that these utility subsidiaries have asserted.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2160"/>
        <w:jc w:val="left"/>
        <w:rPr>
          <w:rFonts w:ascii="Times New Roman;serif" w:hAnsi="Times New Roman;serif"/>
          <w:b/>
          <w:color w:val="000000"/>
          <w:sz w:val="20"/>
        </w:rPr>
      </w:pPr>
      <w:r>
        <w:rPr>
          <w:rFonts w:ascii="Times New Roman;serif" w:hAnsi="Times New Roman;serif"/>
          <w:b/>
          <w:color w:val="000000"/>
          <w:sz w:val="20"/>
        </w:rPr>
        <w:t>Note 7.Benefit Plans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H2O America maintains noncontributory defined benefit pension plans for its eligible employees. SJWC employees hired before March 31, 2008 and CWC and MWC employees hired before January 1, 2009 are entitled to benefits under the pension plans based on the employee’s years of service and compensation. For SJWC employees hired on or after March 31, 2008, benefits are determined using a cash balance formula based upon compensation credits and interest credits for each employee. Starting in 2023, TWC employees are also eligible to participate under SJWC’s cash balance plan. Certain employees hired before March 1, 2012, and covered by a plan merged into the CWC plan in 2013 are also entitled to benefits based on the employee’s years of service and compensation. CTWS employees hired on or after January 1, 2009, are entitled to an additional 3.0% of eligible compensation to their company sponsored savings plan. H2O America does not have multi-employer plans.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senior management hired before March 31, 2008, for SJWC and January 1, 2009 for CWC, are eligible to receive additional retirement benefits under supplemental executive retirement plans and retirement contracts. SJWC’s senior management hired on or after March 31, 2008, are eligible to receive additional retirement benefits under SJWC’s Cash Balance Executive Supplemental Retirement Plan. The supplemental retirement plans and Cash Balance Executive Supplemental Retirement Plan are non-qualified plans in which only senior management and other designated members of management may participate. H2O America also provides health care and life insurance benefits for retired employees under employer-sponsored postretirement benefits that are not pension plans.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components of net periodic benefit costs for the defined benefit plans and other postretirement benefits for the three months ended March 31, 2026 and 2025 are as follows:</w:t>
      </w:r>
    </w:p>
    <w:tbl>
      <w:tblPr>
        <w:tblW w:w="7137" w:type="dxa"/>
        <w:jc w:val="left"/>
        <w:tblInd w:w="0" w:type="dxa"/>
        <w:tblLayout w:type="fixed"/>
        <w:tblCellMar>
          <w:top w:w="28" w:type="dxa"/>
          <w:left w:w="28" w:type="dxa"/>
          <w:bottom w:w="28" w:type="dxa"/>
          <w:right w:w="28" w:type="dxa"/>
        </w:tblCellMar>
      </w:tblPr>
      <w:tblGrid>
        <w:gridCol w:w="1025"/>
        <w:gridCol w:w="901"/>
        <w:gridCol w:w="909"/>
        <w:gridCol w:w="211"/>
        <w:gridCol w:w="616"/>
        <w:gridCol w:w="109"/>
        <w:gridCol w:w="109"/>
        <w:gridCol w:w="109"/>
        <w:gridCol w:w="109"/>
        <w:gridCol w:w="344"/>
        <w:gridCol w:w="346"/>
        <w:gridCol w:w="156"/>
        <w:gridCol w:w="109"/>
        <w:gridCol w:w="109"/>
        <w:gridCol w:w="109"/>
        <w:gridCol w:w="211"/>
        <w:gridCol w:w="466"/>
        <w:gridCol w:w="109"/>
        <w:gridCol w:w="109"/>
        <w:gridCol w:w="109"/>
        <w:gridCol w:w="109"/>
        <w:gridCol w:w="269"/>
        <w:gridCol w:w="271"/>
        <w:gridCol w:w="213"/>
      </w:tblGrid>
      <w:tr>
        <w:trPr/>
        <w:tc>
          <w:tcPr>
            <w:tcW w:w="1025"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0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Pension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Benefits</w:t>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2"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actuarial gain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cost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7762667f04184357860c74f0caa907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H2O AMERICA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MARCH 31, 2026 </w:t>
      </w:r>
    </w:p>
    <w:p>
      <w:pPr>
        <w:pStyle w:val="TextBody"/>
        <w:bidi w:val="0"/>
        <w:spacing w:lineRule="auto" w:line="288" w:before="220" w:after="283"/>
        <w:jc w:val="left"/>
        <w:rPr>
          <w:rFonts w:ascii="Times New Roman;serif" w:hAnsi="Times New Roman;serif"/>
          <w:b w:val="false"/>
          <w:color w:val="000000"/>
          <w:sz w:val="20"/>
        </w:rPr>
      </w:pPr>
      <w:r>
        <w:rPr>
          <w:rFonts w:ascii="Times New Roman;serif" w:hAnsi="Times New Roman;serif"/>
          <w:b w:val="false"/>
          <w:color w:val="000000"/>
          <w:sz w:val="20"/>
        </w:rPr>
        <w:t>In 2026, H2O America expects to make required and discretionary cash contributions of up to $5,838 to the pension plans and other postretirement benefits. For the three months ended March 31, 2026, H2O America has made $1,878 contributions to such plans.</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2160"/>
        <w:jc w:val="left"/>
        <w:rPr>
          <w:rFonts w:ascii="Times New Roman;serif" w:hAnsi="Times New Roman;serif"/>
          <w:b/>
          <w:color w:val="000000"/>
          <w:sz w:val="20"/>
        </w:rPr>
      </w:pPr>
      <w:r>
        <w:rPr>
          <w:rFonts w:ascii="Times New Roman;serif" w:hAnsi="Times New Roman;serif"/>
          <w:b/>
          <w:color w:val="000000"/>
          <w:sz w:val="20"/>
        </w:rPr>
        <w:t>Note 8.Equity Plans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H2O America’s long-term incentive plans provide employees, non-employee board members or the board of directors of any parent or subsidiary, consultants, and other independent advisors who provide services to the company or subsidiary the opportunity to acquire an equity interest in H2O America. H2O America also maintains stock plans in connection with its acquisition of CTWS which are no longer granting new stock awards. In addition, shares are issued to employees under H2O America’s Employee Stock Purchase Plan (“ESPP”).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March 31, 2026, 297,275 shares are issuable upon the vesting of outstanding restricted stock units and deferred restricted stock units and an additional 876,675 shares are available for award issuances under the long-term incentive plans.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summary of compensation costs charged to income, by award type, and proceeds from the ESPP, are presented below for the three months ended March 31, 2026 and 2025:</w:t>
      </w:r>
    </w:p>
    <w:tbl>
      <w:tblPr>
        <w:tblW w:w="6728" w:type="dxa"/>
        <w:jc w:val="left"/>
        <w:tblInd w:w="0" w:type="dxa"/>
        <w:tblLayout w:type="fixed"/>
        <w:tblCellMar>
          <w:top w:w="28" w:type="dxa"/>
          <w:left w:w="28" w:type="dxa"/>
          <w:bottom w:w="28" w:type="dxa"/>
          <w:right w:w="28" w:type="dxa"/>
        </w:tblCellMar>
      </w:tblPr>
      <w:tblGrid>
        <w:gridCol w:w="1423"/>
        <w:gridCol w:w="1251"/>
        <w:gridCol w:w="1255"/>
        <w:gridCol w:w="312"/>
        <w:gridCol w:w="912"/>
        <w:gridCol w:w="161"/>
        <w:gridCol w:w="161"/>
        <w:gridCol w:w="161"/>
        <w:gridCol w:w="161"/>
        <w:gridCol w:w="307"/>
        <w:gridCol w:w="309"/>
        <w:gridCol w:w="161"/>
        <w:gridCol w:w="154"/>
      </w:tblGrid>
      <w:tr>
        <w:trPr/>
        <w:tc>
          <w:tcPr>
            <w:tcW w:w="1423"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costs charged to income:</w:t>
            </w:r>
          </w:p>
        </w:tc>
        <w:tc>
          <w:tcPr>
            <w:tcW w:w="1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ESPP</w:t>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Restricted stock and deferred restricted stock</w:t>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compensation costs charged to income</w:t>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ESPP proceeds</w:t>
            </w:r>
          </w:p>
        </w:tc>
        <w:tc>
          <w:tcPr>
            <w:tcW w:w="31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1,023 </w:t>
            </w:r>
          </w:p>
        </w:tc>
        <w:tc>
          <w:tcPr>
            <w:tcW w:w="16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1,116 </w:t>
            </w:r>
          </w:p>
        </w:tc>
        <w:tc>
          <w:tcPr>
            <w:tcW w:w="16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Restricted Stock and Deferred Restricted Stock</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H2O America granted 113,332 restricted stock awards at a weighted average grant date fair value per unit of $48.51, which consisted of 43,150 three-year service-based restricted stock awards and 70,182 target units of three-year performance-based restricted stock awards. Based upon actual attainment relative to the target performance metric, the number of shares issuable can range between 0% to 150% of the target number of shares.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March 31, 2025, H2O America granted 46,405 three-year service-based restricted stock awards with a weighted average grant date fair value per unit of $44.17 and 56,646 target units of one-year, two-year, and three-year service-based restricted stock awards with a weighted average grant date fair value per unit of $51.87. Based upon actual attainment relative to the target performance metric, the number of shares issuable can range between 0% to 150% of the target number of shares for performance-based restricted stock awards and 0% to 200% of the target number for market-based restricted stock awards.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March 31, 2026, the total number of outstanding restricted stock awards and deferred restricted stock awards was 318,118 and the total number of shares vested but not issued was 31,939. As of March 31, 2026, unrecognized compensation costs related to restricted and deferred restricted stock plans was $6,086. This cost is expected to be recognized over a weighted average period of 1.66 years.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2160"/>
        <w:jc w:val="left"/>
        <w:rPr>
          <w:rFonts w:ascii="Times New Roman;serif" w:hAnsi="Times New Roman;serif"/>
          <w:b/>
          <w:color w:val="000000"/>
          <w:sz w:val="20"/>
        </w:rPr>
      </w:pPr>
      <w:r>
        <w:rPr>
          <w:rFonts w:ascii="Times New Roman;serif" w:hAnsi="Times New Roman;serif"/>
          <w:b/>
          <w:color w:val="000000"/>
          <w:sz w:val="20"/>
        </w:rPr>
        <w:t>Note 9.Segment Reporting</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H2O America’s single reportable segment provides water utility and utility-related services to its customers through H2O America’s subsidiaries, SJWC, CWC, TWC, MWC, and Acequia, which are aggregated and referred to as “Water Utility Services.” Water Utility Services’ activities are water utility operations with both regulated and non-tariffed businesses. Other business activities that do not comprise separately reportable segments primarily include SJWC’s City of Cupertino service concession arrangement operations, property management and investment activity conducted by H2O America Land Company and Chester Realty, Inc., contract water and sewer operations and other water-related services provided by NEWUS and are referred to as “Other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7762667f04184357860c74f0caa907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H2O AMERICA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MARCH 31, 2026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H2O America’s operating segments have been determined based on information used by the chief operating decision maker. H2O America’s chief operating decision makers (“CODM”) include the Chief Executive Officer and Chair of the Board; the Chief Financial Officer and Treasurer; the President and Chief Operating Officer; the President of Shared Services and Senior Vice President and Chief Administrative Officer; and the Vice President and General Counsel. However, ultimate decision-making authority rests with the Chief Executive Officer. The CODM reviews financial information presented on a consolidated basis that is accompanied by certain disaggregated information about operating revenue, expenses, net income, and total assets. The CODM uses net income to assess the financial performance of the segments and allocate resources (including employees, financial, or capital resources) in the budgeting and forecasting process.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Previously, H2O America presented a separate reportable segment for Real Estate Services and also presented a disaggregation of regulated and non-tariffed activities within the Water Utility Services reportable segment. Under the current presentation, the activities of Water Utility Services previously presented as “non-tariffed” are generally presented as “Other Services” along with the real estate activity. Certain allocated assets, such as goodwill, revenue and expenses have been included in the reportable segment amounts. Certain corporate costs and expenses are not allocated to Water Utility Services or Other Services and are shown separately to reconcile to the applicable consolidated amounts.</w:t>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7762667f04184357860c74f0caa907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H2O AMERICA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MARCH 31, 2026 </w:t>
      </w:r>
    </w:p>
    <w:tbl>
      <w:tblPr>
        <w:tblW w:w="10205" w:type="dxa"/>
        <w:jc w:val="left"/>
        <w:tblInd w:w="0" w:type="dxa"/>
        <w:tblLayout w:type="fixed"/>
        <w:tblCellMar>
          <w:top w:w="28" w:type="dxa"/>
          <w:left w:w="28" w:type="dxa"/>
          <w:bottom w:w="28" w:type="dxa"/>
          <w:right w:w="28" w:type="dxa"/>
        </w:tblCellMar>
      </w:tblPr>
      <w:tblGrid>
        <w:gridCol w:w="1292"/>
        <w:gridCol w:w="1077"/>
        <w:gridCol w:w="1056"/>
        <w:gridCol w:w="281"/>
        <w:gridCol w:w="1106"/>
        <w:gridCol w:w="144"/>
        <w:gridCol w:w="113"/>
        <w:gridCol w:w="113"/>
        <w:gridCol w:w="113"/>
        <w:gridCol w:w="446"/>
        <w:gridCol w:w="397"/>
        <w:gridCol w:w="399"/>
        <w:gridCol w:w="113"/>
        <w:gridCol w:w="113"/>
        <w:gridCol w:w="113"/>
        <w:gridCol w:w="568"/>
        <w:gridCol w:w="568"/>
        <w:gridCol w:w="569"/>
        <w:gridCol w:w="113"/>
        <w:gridCol w:w="113"/>
        <w:gridCol w:w="113"/>
        <w:gridCol w:w="413"/>
        <w:gridCol w:w="413"/>
        <w:gridCol w:w="459"/>
      </w:tblGrid>
      <w:tr>
        <w:trPr/>
        <w:tc>
          <w:tcPr>
            <w:tcW w:w="1292"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r>
      <w:tr>
        <w:trPr/>
        <w:tc>
          <w:tcPr>
            <w:tcW w:w="34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80"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For the three months ended March 31, 2026</w:t>
            </w:r>
          </w:p>
        </w:tc>
      </w:tr>
      <w:tr>
        <w:trPr/>
        <w:tc>
          <w:tcPr>
            <w:tcW w:w="3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Reportable Segment</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Water Utility Services</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Services (1)</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Unallocated Corporate (2)</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3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0"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w:t>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179,389 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3,904 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183,293 </w:t>
            </w:r>
          </w:p>
        </w:tc>
        <w:tc>
          <w:tcPr>
            <w:tcW w:w="4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Production expenses</w:t>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65,426 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66,424 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Administrative and general</w:t>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28,261 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1,329 </w:t>
            </w:r>
          </w:p>
        </w:tc>
        <w:tc>
          <w:tcPr>
            <w:tcW w:w="5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29,807 </w:t>
            </w:r>
          </w:p>
        </w:tc>
        <w:tc>
          <w:tcPr>
            <w:tcW w:w="4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Maintenance</w:t>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8,376 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taxes and other non-income taxes</w:t>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8,954 </w:t>
            </w:r>
          </w:p>
        </w:tc>
        <w:tc>
          <w:tcPr>
            <w:tcW w:w="4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32,044 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32,306 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long-term debt and other interest expense</w:t>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4,337 </w:t>
            </w:r>
          </w:p>
        </w:tc>
        <w:tc>
          <w:tcPr>
            <w:tcW w:w="5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18,838 </w:t>
            </w:r>
          </w:p>
        </w:tc>
        <w:tc>
          <w:tcPr>
            <w:tcW w:w="4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5"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70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r>
      <w:tr>
        <w:trPr/>
        <w:tc>
          <w:tcPr>
            <w:tcW w:w="3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(benefit) for income taxes</w:t>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(2,868)</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3,393 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(3)</w:t>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(3,565)</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5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(3,818)</w:t>
            </w:r>
          </w:p>
        </w:tc>
        <w:tc>
          <w:tcPr>
            <w:tcW w:w="4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21,037 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851 </w:t>
            </w:r>
          </w:p>
        </w:tc>
        <w:tc>
          <w:tcPr>
            <w:tcW w:w="3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(2,875)</w:t>
            </w:r>
          </w:p>
        </w:tc>
        <w:tc>
          <w:tcPr>
            <w:tcW w:w="5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19,013 </w:t>
            </w:r>
          </w:p>
        </w:tc>
        <w:tc>
          <w:tcPr>
            <w:tcW w:w="4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92,508 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92,508 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92"/>
        <w:gridCol w:w="1077"/>
        <w:gridCol w:w="1056"/>
        <w:gridCol w:w="281"/>
        <w:gridCol w:w="1106"/>
        <w:gridCol w:w="144"/>
        <w:gridCol w:w="113"/>
        <w:gridCol w:w="113"/>
        <w:gridCol w:w="113"/>
        <w:gridCol w:w="446"/>
        <w:gridCol w:w="397"/>
        <w:gridCol w:w="399"/>
        <w:gridCol w:w="113"/>
        <w:gridCol w:w="113"/>
        <w:gridCol w:w="113"/>
        <w:gridCol w:w="568"/>
        <w:gridCol w:w="568"/>
        <w:gridCol w:w="569"/>
        <w:gridCol w:w="113"/>
        <w:gridCol w:w="113"/>
        <w:gridCol w:w="113"/>
        <w:gridCol w:w="413"/>
        <w:gridCol w:w="413"/>
        <w:gridCol w:w="459"/>
      </w:tblGrid>
      <w:tr>
        <w:trPr/>
        <w:tc>
          <w:tcPr>
            <w:tcW w:w="1292"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r>
      <w:tr>
        <w:trPr/>
        <w:tc>
          <w:tcPr>
            <w:tcW w:w="34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80"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For the three months ended March 31, 2025</w:t>
            </w:r>
          </w:p>
        </w:tc>
      </w:tr>
      <w:tr>
        <w:trPr/>
        <w:tc>
          <w:tcPr>
            <w:tcW w:w="3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Reportable Segment</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Water Utility Services</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Services (1)</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Unallocated Corporate (2)</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3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0"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w:t>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165,156 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2,443 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167,599 </w:t>
            </w:r>
          </w:p>
        </w:tc>
        <w:tc>
          <w:tcPr>
            <w:tcW w:w="4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Production expenses</w:t>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57,985 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58,967 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Administrative and general</w:t>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26,751 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5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27,760 </w:t>
            </w:r>
          </w:p>
        </w:tc>
        <w:tc>
          <w:tcPr>
            <w:tcW w:w="4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Maintenance</w:t>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7,499 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taxes and other non-income taxes</w:t>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9,209 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5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9,195 </w:t>
            </w:r>
          </w:p>
        </w:tc>
        <w:tc>
          <w:tcPr>
            <w:tcW w:w="4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28,032 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28,282 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long-term debt and other interest expense</w:t>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13,039 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5,233 </w:t>
            </w:r>
          </w:p>
        </w:tc>
        <w:tc>
          <w:tcPr>
            <w:tcW w:w="5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18,272 </w:t>
            </w:r>
          </w:p>
        </w:tc>
        <w:tc>
          <w:tcPr>
            <w:tcW w:w="4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5"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70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r>
      <w:tr>
        <w:trPr/>
        <w:tc>
          <w:tcPr>
            <w:tcW w:w="3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(benefit) for income taxes</w:t>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(2,061)</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3,471 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(3)</w:t>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w:t>
            </w:r>
          </w:p>
        </w:tc>
        <w:tc>
          <w:tcPr>
            <w:tcW w:w="5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(2,398)</w:t>
            </w:r>
          </w:p>
        </w:tc>
        <w:tc>
          <w:tcPr>
            <w:tcW w:w="4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18,953 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3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(2,712)</w:t>
            </w:r>
          </w:p>
        </w:tc>
        <w:tc>
          <w:tcPr>
            <w:tcW w:w="5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16,551 </w:t>
            </w:r>
          </w:p>
        </w:tc>
        <w:tc>
          <w:tcPr>
            <w:tcW w:w="4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84,345 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84,345 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267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7" w:type="dxa"/>
            <w:gridSpan w:val="18"/>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tbl>
      <w:tblPr>
        <w:tblW w:w="267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7" w:type="dxa"/>
            <w:gridSpan w:val="18"/>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val="false"/>
          <w:color w:val="000000"/>
          <w:sz w:val="20"/>
        </w:rPr>
        <w:t>______________________________</w:t>
      </w:r>
      <w:r>
        <w:rPr>
          <w:color w:val="000000"/>
        </w:rPr>
        <w:t xml:space="preserve"> </w:t>
      </w:r>
    </w:p>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(1)    The “Other Services” category includes the accounts of H2O America Land Company, Chester Realty, Inc., SJWC’s Cupertino service concession arrangement operations, TWOS, TWR, and NEWUS, on a stand-alone basis.</w:t>
      </w:r>
    </w:p>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(2)    The “Unallocated Corporate” category includes the accounts of H2O America, H2O America NE LLC, H2O America TX Holdings, Inc., CTWS, NWU on a stand-alone basis.</w:t>
      </w:r>
    </w:p>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(3)    Primarily comprised of pension non-service credit (cost) and items of miscellaneous non-operating income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7762667f04184357860c74f0caa907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H2O AMERICA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MARCH 31, 2026 </w:t>
      </w:r>
    </w:p>
    <w:p>
      <w:pPr>
        <w:pStyle w:val="TextBody"/>
        <w:bidi w:val="0"/>
        <w:spacing w:before="0" w:after="0"/>
        <w:ind w:left="0" w:right="0" w:hanging="720"/>
        <w:jc w:val="left"/>
        <w:rPr/>
      </w:pPr>
      <w:r>
        <w:rPr/>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H2O America’s assets for the Water Utility Services reportable segment and all other are as follows as of:</w:t>
      </w:r>
    </w:p>
    <w:tbl>
      <w:tblPr>
        <w:tblW w:w="6854" w:type="dxa"/>
        <w:jc w:val="left"/>
        <w:tblInd w:w="0" w:type="dxa"/>
        <w:tblLayout w:type="fixed"/>
        <w:tblCellMar>
          <w:top w:w="28" w:type="dxa"/>
          <w:left w:w="28" w:type="dxa"/>
          <w:bottom w:w="28" w:type="dxa"/>
          <w:right w:w="28" w:type="dxa"/>
        </w:tblCellMar>
      </w:tblPr>
      <w:tblGrid>
        <w:gridCol w:w="1308"/>
        <w:gridCol w:w="1150"/>
        <w:gridCol w:w="1157"/>
        <w:gridCol w:w="211"/>
        <w:gridCol w:w="976"/>
        <w:gridCol w:w="109"/>
        <w:gridCol w:w="109"/>
        <w:gridCol w:w="109"/>
        <w:gridCol w:w="109"/>
        <w:gridCol w:w="488"/>
        <w:gridCol w:w="488"/>
        <w:gridCol w:w="640"/>
      </w:tblGrid>
      <w:tr>
        <w:trPr/>
        <w:tc>
          <w:tcPr>
            <w:tcW w:w="1308"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Water Utility Services (reportable segment)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5,135,509 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5,054,235 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Services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26,707 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Corporate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68,624 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5,353,304 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5,149,566 </w:t>
            </w:r>
          </w:p>
        </w:tc>
        <w:tc>
          <w:tcPr>
            <w:tcW w:w="6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hanging="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7762667f04184357860c74f0caa907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H2O AMERICA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MARCH 31, 2026 </w:t>
      </w:r>
    </w:p>
    <w:p>
      <w:pPr>
        <w:pStyle w:val="TextBody"/>
        <w:bidi w:val="0"/>
        <w:spacing w:lineRule="auto" w:line="288" w:before="120" w:after="283"/>
        <w:ind w:left="0" w:right="0" w:hanging="2160"/>
        <w:jc w:val="left"/>
        <w:rPr>
          <w:rFonts w:ascii="Times New Roman;serif" w:hAnsi="Times New Roman;serif"/>
          <w:b/>
          <w:color w:val="000000"/>
          <w:sz w:val="20"/>
        </w:rPr>
      </w:pPr>
      <w:r>
        <w:rPr>
          <w:rFonts w:ascii="Times New Roman;serif" w:hAnsi="Times New Roman;serif"/>
          <w:b/>
          <w:color w:val="000000"/>
          <w:sz w:val="20"/>
        </w:rPr>
        <w:t>Note 10.Acquisitions</w:t>
      </w:r>
    </w:p>
    <w:p>
      <w:pPr>
        <w:pStyle w:val="TextBody"/>
        <w:bidi w:val="0"/>
        <w:spacing w:lineRule="auto" w:line="288" w:before="12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Quadvest acquisition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July 7, 2025, the Company, through its indirect subsidiary, TWC, entered into an asset purchase agreement (the “Regulated Business APA”), with Quadvest, L.P. (“Quadvest Retail”) and the Company, as guarantor, pursuant to which, and subject to the terms and conditions set forth therein, Quadvest Retail has agreed to sell, and TWC has agreed to acquire, substantially all of the assets of Quadvest L.P. related to the operation of Quadvest L.P.’s water and sewer utility business at a purchase price consisting of a base amount of $483.6 million, with certain adjustments based on capital expenditures (the “Regulated Business Transaction”). The Regulated Business Transaction will be subject to the satisfaction of various closing conditions set forth in the Regulated Business APA, including satisfaction of the closing conditions with respect to the Wholesale Business Transaction described below.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Concurrently on July 7, 2025, the Company, its indirect subsidiaries, TWOS and TWC (together with the Company and TWOS, the “Purchasers”), entered into another asset purchase agreement (the “Wholesale Business APA”), with Quadvest Retail and its affiliate, Quadvest Wholesale, LLC (“Quadvest Wholesale”), pursuant to which, and subject to the terms and conditions set forth therein, Quadvest Wholesale has agreed to sell, and TWOS has agreed to acquire substantially all of the assets of Quadvest Wholesale related to the operation of Quadvest Wholesale’s wholesale water and sewer business at a purchase price consisting of a base amount of $56.4 million, with certain adjustments based on capital expenditures (the “Wholesale Business Transaction”). The Wholesale Business Transaction will be subject to the satisfaction of various closing conditions set forth in the Wholesale Business APA, including the simultaneous closing of the Regulated Business Transaction described above.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July 9, 2025, TWC filed a request with the Public Utility Commission of Texas (the “PUCT”) to use Fair Market Value (“FMV”) to support its acquisition of Quadvest Retail. On August 7, 2025, the PUCT appointed three appraisers to determine the FMV. In December 2025, TWC received the appraised FMV from the PUCT-appointed appraisers for the assets of Quadvest Retail. In accordance with Texas’ FMV statute, the purchase price of $483.6 million will serve as the ratemaking rate base. On January 22, 2026, TWC filed its Sale, Transfer, Merger (“STM”) application with the PUCT. This application was deemed administratively complete on April 14, 2026.</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Note 11.</w:t>
      </w:r>
      <w:r>
        <w:rPr>
          <w:color w:val="000000"/>
        </w:rPr>
        <w:t xml:space="preserve"> </w:t>
      </w:r>
      <w:r>
        <w:rPr>
          <w:rFonts w:ascii="Times New Roman;serif" w:hAnsi="Times New Roman;serif"/>
          <w:b/>
          <w:color w:val="000000"/>
          <w:sz w:val="20"/>
        </w:rPr>
        <w:t>Subsequent Events</w:t>
      </w:r>
    </w:p>
    <w:p>
      <w:pPr>
        <w:pStyle w:val="TextBody"/>
        <w:bidi w:val="0"/>
        <w:spacing w:lineRule="auto" w:line="268" w:before="12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PFAS litigation settlement</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In April 2026, the Company received cash proceeds of $5.3 million from legal settlements with Tyco Fire Products LP and BASF Corporation related to PFAS contamination, allocated as follows: SJWC received $3.5 million and CWC received $1.8 million.</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7762667f04184357860c74f0caa907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 xml:space="preserve">ITEM 2.MANAGEMENT’S DISCUSSION AND ANALYSIS OF FINANCIAL CONDITION AND RESULTS OF OPERATIONS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(Dollar amounts in thousands, except per share amounts and where otherwise noted)</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The information in this Item 2 should be read in conjunction with the financial information and the notes thereto included in Item 1 of this Form 10-Q and the condensed consolidated financial statements and notes thereto and the related “Management’s Discussion and Analysis of Financial Condition and Results of Operations” contained in H2O America’s Annual Report on Form 10-K for the year ended December 31, 2025.</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This report contains forward-looking statements within the meaning of the federal securities laws relating to future events and future results of H2O America and its subsidiaries that are based on current expectations, estimates, forecasts, and projections about H2O America and its subsidiaries and the industries in which H2O America and its subsidiaries operate and the beliefs and assumptions of the management of H2O America. Actual results may differ materially from those currently anticipated and expressed in such forward-looking statements as a result of a number of factors. For more information about such forward-looking statements, including some of the factors that may affect our actual results, please see our disclosures under “Forward-Looking Statements,” and elsewhere in this Form 10-Q, including Part II, Item 1A under “Risk Factors” as well as the disclosures under Part I, Item 1A in H2O America’s Annual Report on Form 10-K for the year ended December 31, 2025 under “Risk Factors.”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May 2025, the Company changed the corporate name from SJW Group to H2O America. H2O America is a holding company whose primary business involves ownership of public utilities that provide water and wastewater services, including the production, purchase, storage, purification, distribution, wholesale and retail sale of water. The water utility business of H2O America is conducted through the following wholly owned subsidiaries: San Jose Water Company (“SJWC”), The Connecticut Water Company (“CWC”), The Maine Water Company (“MWC”), and SJWTX, Inc. doing business as The Texas Water Company (“TWC”). These subsidiaries provide water service to approximately 409,000 water and wastewater service connections and serve a combined population of over 1.6 million people in California, Connecticut, Maine and Texas. Water utility services provided by these businesses are subject to regulation by the applicable state public utility commissions. These subsidiaries also engage in non-tariffed operations that are not subject to public utility commission regulation, including contract water and sewer operations, maintenance agreements, and antenna site leases. </w:t>
      </w:r>
    </w:p>
    <w:p>
      <w:pPr>
        <w:pStyle w:val="TextBody"/>
        <w:bidi w:val="0"/>
        <w:spacing w:lineRule="auto" w:line="288" w:before="120" w:after="283"/>
        <w:jc w:val="left"/>
        <w:rPr/>
      </w:pPr>
      <w:r>
        <w:rPr>
          <w:rFonts w:ascii="Times New Roman;serif" w:hAnsi="Times New Roman;serif"/>
          <w:b w:val="false"/>
          <w:color w:val="000000"/>
          <w:sz w:val="20"/>
        </w:rPr>
        <w:t xml:space="preserve">Together, </w:t>
      </w:r>
      <w:r>
        <w:rPr>
          <w:rFonts w:ascii="Times New Roman;serif" w:hAnsi="Times New Roman;serif"/>
          <w:b w:val="false"/>
          <w:color w:val="000000"/>
          <w:sz w:val="20"/>
          <w:shd w:fill="FFFFFF" w:val="clear"/>
        </w:rPr>
        <w:t xml:space="preserve">SJWC, excluding the City of Cupertino (“Cupertino”) service concession arrangement operations, CWC, MWC and TWC </w:t>
      </w:r>
      <w:r>
        <w:rPr>
          <w:rFonts w:ascii="Times New Roman;serif" w:hAnsi="Times New Roman;serif"/>
          <w:b w:val="false"/>
          <w:color w:val="000000"/>
          <w:sz w:val="20"/>
        </w:rPr>
        <w:t>are referred to as “Water Utility Services,” which is our single reportable segment.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Other business activities that are not separately reportable segments are SJWC’s Cupertino service concession arrangement operations, Texas Water Operation Services, LLC (“TWOS”), Texas Water Resources, LLC (“TWR”), New England Water Utility Services, Inc. (“NEWUS”), H2O America Land Company and Chester Realty, Inc. and are collectively referred to as “Other Services.”</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Business Strategy for Water Utility Services: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H2O America focuses its business initiatives in three strategic areas: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(1)Investing in regional regulated water utility operations to support the health, safety and quality of life of our customers;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(2)Regional non-tariffed water utility-related services provided in accordance with the guidelines established by applicable state public utility commissions;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(3)Out-of-region water and utility-related services.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part of our pursuit of the above three strategic areas, we consider from time to time opportunities to acquire businesses and assets. However, we cannot be certain we will be successful in identifying and consummating any strategic business combinations or acquisitions relating to such opportunities. In addition, the execution of our business strategy will expose us to different risks than those associated with the current utility operations. We expect to incur costs in connection with the execution of this strategy and any integration of an acquired business could involve significant costs, the assumption of certain known and unknown liabilities related to the acquired assets, the diversion of management’s time and resources, the potential for a negative impact on our financial position and operating results, entering markets in which we have no or limited direct prior experience, and the potential loss of key employees of any acquired company. Any strategic combination or acquisition we decide to undertake may also impact our ability to finance our business, affect our compliance with regulatory requirements, and impose additional burdens on our operations. Any businesses we acquire may not achieve sales, customer growth, and projected profitability that would justify the investment. Any difficulties we encounter in the integration process, including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7762667f04184357860c74f0caa907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integration of controls necessary for internal control and financial reporting, could interfere with our operations, reduce our operating margins, and adversely affect our internal controls. H2O America cannot be certain that any transaction will be successful or that it will not materially harm operating results or our financial condition.</w:t>
      </w:r>
    </w:p>
    <w:p>
      <w:pPr>
        <w:pStyle w:val="TextBody"/>
        <w:bidi w:val="0"/>
        <w:spacing w:lineRule="auto" w:line="288" w:before="120" w:after="283"/>
        <w:jc w:val="left"/>
        <w:rPr/>
      </w:pPr>
      <w:r>
        <w:rPr>
          <w:rFonts w:ascii="Times New Roman;serif" w:hAnsi="Times New Roman;serif"/>
          <w:b w:val="false"/>
          <w:color w:val="000000"/>
          <w:sz w:val="20"/>
        </w:rPr>
        <w:t xml:space="preserve">As previously disclosed, H2O America, through its indirect subsidiary, TWC, is set to acquire regulated systems owned by Quadvest L.P. for $483.6 million, and TWOS will acquire systems owned by Quadvest Wholesale LLC for $56.4 million. Please see </w:t>
      </w:r>
      <w:hyperlink w:anchor="i7762667f04184357860c74f0caa90717_64">
        <w:r>
          <w:rPr>
            <w:rStyle w:val="InternetLink"/>
            <w:rFonts w:ascii="Times New Roman;serif" w:hAnsi="Times New Roman;serif"/>
            <w:b w:val="false"/>
            <w:color w:val="0000FF"/>
            <w:sz w:val="20"/>
            <w:u w:val="single"/>
          </w:rPr>
          <w:t>Note 10</w:t>
        </w:r>
      </w:hyperlink>
      <w:r>
        <w:rPr>
          <w:color w:val="000000"/>
        </w:rPr>
        <w:t xml:space="preserve"> “</w:t>
      </w:r>
      <w:r>
        <w:rPr>
          <w:rFonts w:ascii="Times New Roman;serif" w:hAnsi="Times New Roman;serif"/>
          <w:b w:val="false"/>
          <w:color w:val="000000"/>
          <w:sz w:val="20"/>
        </w:rPr>
        <w:t>Acquisitions” for further discussion. On the completion of this acquisition, Quadvest will bring operational scale, a strong development pipeline, and increased exposure to one of America’s fastest growing regions, Houston, TX. Quadvest brings a strong legacy of local relationships and reliable service. It has been providing water and sewer service in Southeast Texas for nearly 50 years through its operating entities.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discussion and analysis of our financial condition and results of operations is based on the accounting estimates used and disclosed in our 2025 consolidated financial statements and accompanying notes that were prepared in accordance with accounting principles generally accepted in the United States of America and included as part of our Annual Report on Form 10-K for the year ended December 31, 2025, that was filed with the Securities and Exchange Commission on February 26, 2026.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critical accounting estimates are described in Management’s Discussion and Analysis of Financial Condition and Results of Operations included in our Annual Report on Form 10-K for the year ended December 31, 2025. Our significant accounting policies are described in the notes to the 2025 consolidated financial statements included in our Annual Report on Form 10-K for the year ended December 31, 2025. There have been no changes to critical accounting estimates or significant accounting policies during the three months ended March 31,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New Accounting Pronouncements:</w:t>
      </w:r>
    </w:p>
    <w:p>
      <w:pPr>
        <w:pStyle w:val="TextBody"/>
        <w:bidi w:val="0"/>
        <w:spacing w:lineRule="auto" w:line="288" w:before="160" w:after="283"/>
        <w:jc w:val="left"/>
        <w:rPr/>
      </w:pPr>
      <w:r>
        <w:rPr>
          <w:rFonts w:ascii="Times New Roman;serif" w:hAnsi="Times New Roman;serif"/>
          <w:b w:val="false"/>
          <w:color w:val="000000"/>
          <w:sz w:val="20"/>
        </w:rPr>
        <w:t xml:space="preserve">See </w:t>
      </w:r>
      <w:hyperlink w:anchor="i7762667f04184357860c74f0caa90717_34">
        <w:r>
          <w:rPr>
            <w:rStyle w:val="InternetLink"/>
            <w:rFonts w:ascii="Times New Roman;serif" w:hAnsi="Times New Roman;serif"/>
            <w:b w:val="false"/>
            <w:color w:val="0000FF"/>
            <w:sz w:val="20"/>
            <w:u w:val="single"/>
          </w:rPr>
          <w:t>Note 1</w:t>
        </w:r>
      </w:hyperlink>
      <w:r>
        <w:rPr>
          <w:color w:val="000000"/>
        </w:rPr>
        <w:t xml:space="preserve"> “</w:t>
      </w:r>
      <w:r>
        <w:rPr>
          <w:rFonts w:ascii="Times New Roman;serif" w:hAnsi="Times New Roman;serif"/>
          <w:b w:val="false"/>
          <w:color w:val="000000"/>
          <w:sz w:val="20"/>
        </w:rPr>
        <w:t>General” for a discussion of new accounting pronouncements.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Water sales are seasonal in nature and are influenced by weather conditions. The timing of precipitation and climatic conditions can cause seasonal water consumption by customers to vary significantly. Due to the seasonal nature of the water business, the operating results for interim periods are not indicative of the operating results for a 12-month period. Revenue is generally higher in the warm, dry summer months when water usage and sales are greater, and lower in the winter months when cooler temperatures and increased precipitation curtail water usage and sales. </w:t>
      </w:r>
    </w:p>
    <w:p>
      <w:pPr>
        <w:pStyle w:val="TextBody"/>
        <w:bidi w:val="0"/>
        <w:spacing w:lineRule="auto" w:line="288" w:before="120" w:after="283"/>
        <w:ind w:left="0" w:right="0" w:firstLine="45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Overview</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H2O America’s financial results and highlights for the three months ended March 31, 2026 and 2025 include:</w:t>
      </w:r>
    </w:p>
    <w:tbl>
      <w:tblPr>
        <w:tblW w:w="8929" w:type="dxa"/>
        <w:jc w:val="left"/>
        <w:tblInd w:w="0" w:type="dxa"/>
        <w:tblLayout w:type="fixed"/>
        <w:tblCellMar>
          <w:top w:w="28" w:type="dxa"/>
          <w:left w:w="28" w:type="dxa"/>
          <w:bottom w:w="28" w:type="dxa"/>
          <w:right w:w="28" w:type="dxa"/>
        </w:tblCellMar>
      </w:tblPr>
      <w:tblGrid>
        <w:gridCol w:w="869"/>
        <w:gridCol w:w="763"/>
        <w:gridCol w:w="768"/>
        <w:gridCol w:w="295"/>
        <w:gridCol w:w="1156"/>
        <w:gridCol w:w="152"/>
        <w:gridCol w:w="152"/>
        <w:gridCol w:w="152"/>
        <w:gridCol w:w="152"/>
        <w:gridCol w:w="413"/>
        <w:gridCol w:w="413"/>
        <w:gridCol w:w="156"/>
        <w:gridCol w:w="109"/>
        <w:gridCol w:w="109"/>
        <w:gridCol w:w="109"/>
        <w:gridCol w:w="360"/>
        <w:gridCol w:w="361"/>
        <w:gridCol w:w="281"/>
        <w:gridCol w:w="109"/>
        <w:gridCol w:w="109"/>
        <w:gridCol w:w="109"/>
        <w:gridCol w:w="204"/>
        <w:gridCol w:w="204"/>
        <w:gridCol w:w="507"/>
        <w:gridCol w:w="109"/>
        <w:gridCol w:w="109"/>
        <w:gridCol w:w="109"/>
        <w:gridCol w:w="109"/>
        <w:gridCol w:w="109"/>
        <w:gridCol w:w="109"/>
        <w:gridCol w:w="109"/>
        <w:gridCol w:w="154"/>
      </w:tblGrid>
      <w:tr>
        <w:trPr/>
        <w:tc>
          <w:tcPr>
            <w:tcW w:w="86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w:t>
              <w:br/>
              <w:t>(decrease)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400" w:type="dxa"/>
            <w:gridSpan w:val="3"/>
            <w:vMerge w:val="continue"/>
            <w:tcBorders/>
            <w:tcMar>
              <w:top w:w="0" w:type="dxa"/>
              <w:left w:w="0" w:type="dxa"/>
              <w:bottom w:w="0" w:type="dxa"/>
              <w:right w:w="0" w:type="dxa"/>
            </w:tcMar>
            <w:vAlign w:val="center"/>
          </w:tcPr>
          <w:p>
            <w:pPr>
              <w:pStyle w:val="Normal"/>
              <w:bidi w:val="0"/>
              <w:jc w:val="left"/>
              <w:rPr/>
            </w:pPr>
            <w:r>
              <w:rPr/>
            </w:r>
          </w:p>
        </w:tc>
        <w:tc>
          <w:tcPr>
            <w:tcW w:w="16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15"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2"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 except per share data)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183,293 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15,694 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145,867 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14,164 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2,462 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 Basic</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 Diluted</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7762667f04184357860c74f0caa907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495"/>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Operating Revenue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H2O America has a single reportable segment, referred to as “Water Utility Services.” All other business activities not separately reportable are included in “Other Services.” Operating revenue for the Water Utility Services reportable segment and Other Services was as follows:</w:t>
      </w:r>
    </w:p>
    <w:tbl>
      <w:tblPr>
        <w:tblW w:w="5495" w:type="dxa"/>
        <w:jc w:val="left"/>
        <w:tblInd w:w="0" w:type="dxa"/>
        <w:tblLayout w:type="fixed"/>
        <w:tblCellMar>
          <w:top w:w="28" w:type="dxa"/>
          <w:left w:w="28" w:type="dxa"/>
          <w:bottom w:w="28" w:type="dxa"/>
          <w:right w:w="28" w:type="dxa"/>
        </w:tblCellMar>
      </w:tblPr>
      <w:tblGrid>
        <w:gridCol w:w="749"/>
        <w:gridCol w:w="658"/>
        <w:gridCol w:w="663"/>
        <w:gridCol w:w="281"/>
        <w:gridCol w:w="1101"/>
        <w:gridCol w:w="145"/>
        <w:gridCol w:w="145"/>
        <w:gridCol w:w="145"/>
        <w:gridCol w:w="145"/>
        <w:gridCol w:w="413"/>
        <w:gridCol w:w="413"/>
        <w:gridCol w:w="156"/>
        <w:gridCol w:w="109"/>
        <w:gridCol w:w="109"/>
        <w:gridCol w:w="109"/>
        <w:gridCol w:w="154"/>
      </w:tblGrid>
      <w:tr>
        <w:trPr/>
        <w:tc>
          <w:tcPr>
            <w:tcW w:w="74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4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Revenue by Segment</w:t>
            </w:r>
          </w:p>
        </w:tc>
        <w:tc>
          <w:tcPr>
            <w:tcW w:w="481" w:type="dxa"/>
            <w:gridSpan w:val="4"/>
            <w:tcBorders/>
          </w:tcPr>
          <w:p>
            <w:pPr>
              <w:pStyle w:val="TableContents"/>
              <w:bidi w:val="0"/>
              <w:spacing w:before="0" w:after="283"/>
              <w:jc w:val="left"/>
              <w:rPr>
                <w:sz w:val="4"/>
                <w:szCs w:val="4"/>
              </w:rPr>
            </w:pPr>
            <w:r>
              <w:rPr>
                <w:sz w:val="4"/>
                <w:szCs w:val="4"/>
              </w:rPr>
            </w:r>
          </w:p>
        </w:tc>
      </w:tr>
      <w:tr>
        <w:trPr/>
        <w:tc>
          <w:tcPr>
            <w:tcW w:w="2070" w:type="dxa"/>
            <w:gridSpan w:val="3"/>
            <w:vMerge w:val="continue"/>
            <w:tcBorders/>
            <w:tcMar>
              <w:top w:w="0" w:type="dxa"/>
              <w:left w:w="0" w:type="dxa"/>
              <w:bottom w:w="0" w:type="dxa"/>
              <w:right w:w="0" w:type="dxa"/>
            </w:tcMar>
            <w:vAlign w:val="center"/>
          </w:tcPr>
          <w:p>
            <w:pPr>
              <w:pStyle w:val="Normal"/>
              <w:bidi w:val="0"/>
              <w:jc w:val="left"/>
              <w:rPr/>
            </w:pPr>
            <w:r>
              <w:rPr/>
            </w:r>
          </w:p>
        </w:tc>
        <w:tc>
          <w:tcPr>
            <w:tcW w:w="29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Water Utility Services</w:t>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179,389 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Services</w:t>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revenue</w:t>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183,293 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167,599 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change in consolidated operating revenue was due to the following factors:</w:t>
      </w:r>
    </w:p>
    <w:tbl>
      <w:tblPr>
        <w:tblW w:w="5436" w:type="dxa"/>
        <w:jc w:val="left"/>
        <w:tblInd w:w="0" w:type="dxa"/>
        <w:tblLayout w:type="fixed"/>
        <w:tblCellMar>
          <w:top w:w="28" w:type="dxa"/>
          <w:left w:w="28" w:type="dxa"/>
          <w:bottom w:w="28" w:type="dxa"/>
          <w:right w:w="28" w:type="dxa"/>
        </w:tblCellMar>
      </w:tblPr>
      <w:tblGrid>
        <w:gridCol w:w="1054"/>
        <w:gridCol w:w="924"/>
        <w:gridCol w:w="932"/>
        <w:gridCol w:w="211"/>
        <w:gridCol w:w="721"/>
        <w:gridCol w:w="109"/>
        <w:gridCol w:w="109"/>
        <w:gridCol w:w="109"/>
        <w:gridCol w:w="109"/>
        <w:gridCol w:w="203"/>
        <w:gridCol w:w="203"/>
        <w:gridCol w:w="271"/>
        <w:gridCol w:w="109"/>
        <w:gridCol w:w="109"/>
        <w:gridCol w:w="109"/>
        <w:gridCol w:w="154"/>
      </w:tblGrid>
      <w:tr>
        <w:trPr/>
        <w:tc>
          <w:tcPr>
            <w:tcW w:w="105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Increase/(decrease)</w:t>
            </w:r>
          </w:p>
        </w:tc>
        <w:tc>
          <w:tcPr>
            <w:tcW w:w="481" w:type="dxa"/>
            <w:gridSpan w:val="4"/>
            <w:tcBorders/>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45"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months ended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March 31,</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2026 vs.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Water Utility Services: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Consumption changes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customers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Rate increases for:</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Pass-through water costs</w:t>
            </w:r>
            <w:r>
              <w:rPr>
                <w:rFonts w:ascii="Times New Roman;serif" w:hAnsi="Times New Roman;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All other increases</w:t>
            </w:r>
            <w:r>
              <w:rPr>
                <w:rFonts w:ascii="Times New Roman;serif" w:hAnsi="Times New Roman;serif"/>
                <w:b w:val="false"/>
                <w:color w:val="000000"/>
                <w:sz w:val="13"/>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Regulatory mechanisms</w:t>
            </w:r>
            <w:r>
              <w:rPr>
                <w:rFonts w:ascii="Times New Roman;serif" w:hAnsi="Times New Roman;serif"/>
                <w:b w:val="false"/>
                <w:color w:val="000000"/>
                <w:sz w:val="13"/>
              </w:rPr>
              <w:t>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Service and other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change in operating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16"/>
        </w:rPr>
      </w:pPr>
      <w:r>
        <w:rPr>
          <w:rFonts w:ascii="Times New Roman;serif" w:hAnsi="Times New Roman;serif"/>
          <w:b w:val="false"/>
          <w:color w:val="000000"/>
          <w:sz w:val="16"/>
        </w:rPr>
        <w:t>____________________</w:t>
      </w:r>
    </w:p>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(1)    Consists of rate increases specifically associated with changes in the water supply costs that are passed through to customers.</w:t>
      </w:r>
    </w:p>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(2)    Primarily associated with general rate cases and related annual escalation adjustments, infrastructure surcharges, and cost of capital adjustments.</w:t>
      </w:r>
    </w:p>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(3)    Excludes portion attributable to rate increases, which are shown in the rate increase lines above.</w:t>
      </w:r>
    </w:p>
    <w:p>
      <w:pPr>
        <w:pStyle w:val="TextBody"/>
        <w:bidi w:val="0"/>
        <w:spacing w:lineRule="auto" w:line="288" w:before="120" w:after="283"/>
        <w:ind w:left="0" w:right="0" w:firstLine="495"/>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Operating Expense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 is summarized below:</w:t>
      </w:r>
    </w:p>
    <w:tbl>
      <w:tblPr>
        <w:tblW w:w="5364" w:type="dxa"/>
        <w:jc w:val="left"/>
        <w:tblInd w:w="0" w:type="dxa"/>
        <w:tblLayout w:type="fixed"/>
        <w:tblCellMar>
          <w:top w:w="28" w:type="dxa"/>
          <w:left w:w="28" w:type="dxa"/>
          <w:bottom w:w="28" w:type="dxa"/>
          <w:right w:w="28" w:type="dxa"/>
        </w:tblCellMar>
      </w:tblPr>
      <w:tblGrid>
        <w:gridCol w:w="711"/>
        <w:gridCol w:w="624"/>
        <w:gridCol w:w="629"/>
        <w:gridCol w:w="277"/>
        <w:gridCol w:w="1088"/>
        <w:gridCol w:w="143"/>
        <w:gridCol w:w="143"/>
        <w:gridCol w:w="143"/>
        <w:gridCol w:w="143"/>
        <w:gridCol w:w="413"/>
        <w:gridCol w:w="413"/>
        <w:gridCol w:w="156"/>
        <w:gridCol w:w="109"/>
        <w:gridCol w:w="109"/>
        <w:gridCol w:w="109"/>
        <w:gridCol w:w="154"/>
      </w:tblGrid>
      <w:tr>
        <w:trPr/>
        <w:tc>
          <w:tcPr>
            <w:tcW w:w="7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Expense by Segment</w:t>
            </w:r>
          </w:p>
        </w:tc>
        <w:tc>
          <w:tcPr>
            <w:tcW w:w="481" w:type="dxa"/>
            <w:gridSpan w:val="4"/>
            <w:tcBorders/>
          </w:tcPr>
          <w:p>
            <w:pPr>
              <w:pStyle w:val="TableContents"/>
              <w:bidi w:val="0"/>
              <w:spacing w:before="0" w:after="283"/>
              <w:jc w:val="left"/>
              <w:rPr>
                <w:sz w:val="4"/>
                <w:szCs w:val="4"/>
              </w:rPr>
            </w:pPr>
            <w:r>
              <w:rPr>
                <w:sz w:val="4"/>
                <w:szCs w:val="4"/>
              </w:rPr>
            </w:r>
          </w:p>
        </w:tc>
      </w:tr>
      <w:tr>
        <w:trPr/>
        <w:tc>
          <w:tcPr>
            <w:tcW w:w="1964" w:type="dxa"/>
            <w:gridSpan w:val="3"/>
            <w:vMerge w:val="continue"/>
            <w:tcBorders/>
            <w:tcMar>
              <w:top w:w="0" w:type="dxa"/>
              <w:left w:w="0" w:type="dxa"/>
              <w:bottom w:w="0" w:type="dxa"/>
              <w:right w:w="0" w:type="dxa"/>
            </w:tcMar>
            <w:vAlign w:val="center"/>
          </w:tcPr>
          <w:p>
            <w:pPr>
              <w:pStyle w:val="Normal"/>
              <w:bidi w:val="0"/>
              <w:jc w:val="left"/>
              <w:rPr/>
            </w:pPr>
            <w:r>
              <w:rPr/>
            </w:r>
          </w:p>
        </w:tc>
        <w:tc>
          <w:tcPr>
            <w:tcW w:w="29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Water Utility Services</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141,516 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Services</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Unallocated Corporate</w:t>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145,867 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131,703 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7762667f04184357860c74f0caa907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change in consolidated operating expense was due to the following factors:</w:t>
      </w:r>
    </w:p>
    <w:tbl>
      <w:tblPr>
        <w:tblW w:w="10205" w:type="dxa"/>
        <w:jc w:val="left"/>
        <w:tblInd w:w="0" w:type="dxa"/>
        <w:tblLayout w:type="fixed"/>
        <w:tblCellMar>
          <w:top w:w="28" w:type="dxa"/>
          <w:left w:w="28" w:type="dxa"/>
          <w:bottom w:w="28" w:type="dxa"/>
          <w:right w:w="28" w:type="dxa"/>
        </w:tblCellMar>
      </w:tblPr>
      <w:tblGrid>
        <w:gridCol w:w="2815"/>
        <w:gridCol w:w="2428"/>
        <w:gridCol w:w="2434"/>
        <w:gridCol w:w="211"/>
        <w:gridCol w:w="721"/>
        <w:gridCol w:w="109"/>
        <w:gridCol w:w="109"/>
        <w:gridCol w:w="109"/>
        <w:gridCol w:w="109"/>
        <w:gridCol w:w="202"/>
        <w:gridCol w:w="204"/>
        <w:gridCol w:w="271"/>
        <w:gridCol w:w="109"/>
        <w:gridCol w:w="109"/>
        <w:gridCol w:w="109"/>
        <w:gridCol w:w="156"/>
      </w:tblGrid>
      <w:tr>
        <w:trPr/>
        <w:tc>
          <w:tcPr>
            <w:tcW w:w="2815" w:type="dxa"/>
            <w:tcBorders/>
            <w:vAlign w:val="center"/>
          </w:tcPr>
          <w:p>
            <w:pPr>
              <w:pStyle w:val="TableContents"/>
              <w:bidi w:val="0"/>
              <w:spacing w:before="0" w:after="283"/>
              <w:jc w:val="left"/>
              <w:rPr>
                <w:sz w:val="4"/>
                <w:szCs w:val="4"/>
              </w:rPr>
            </w:pPr>
            <w:r>
              <w:rPr>
                <w:sz w:val="4"/>
                <w:szCs w:val="4"/>
              </w:rPr>
            </w:r>
          </w:p>
        </w:tc>
        <w:tc>
          <w:tcPr>
            <w:tcW w:w="2428" w:type="dxa"/>
            <w:tcBorders/>
            <w:vAlign w:val="center"/>
          </w:tcPr>
          <w:p>
            <w:pPr>
              <w:pStyle w:val="TableContents"/>
              <w:bidi w:val="0"/>
              <w:spacing w:before="0" w:after="283"/>
              <w:jc w:val="left"/>
              <w:rPr>
                <w:sz w:val="4"/>
                <w:szCs w:val="4"/>
              </w:rPr>
            </w:pPr>
            <w:r>
              <w:rPr>
                <w:sz w:val="4"/>
                <w:szCs w:val="4"/>
              </w:rPr>
            </w:r>
          </w:p>
        </w:tc>
        <w:tc>
          <w:tcPr>
            <w:tcW w:w="24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7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Increase/(decrease)</w:t>
            </w:r>
          </w:p>
        </w:tc>
        <w:tc>
          <w:tcPr>
            <w:tcW w:w="483" w:type="dxa"/>
            <w:gridSpan w:val="4"/>
            <w:tcBorders/>
          </w:tcPr>
          <w:p>
            <w:pPr>
              <w:pStyle w:val="TableContents"/>
              <w:bidi w:val="0"/>
              <w:spacing w:before="0" w:after="283"/>
              <w:jc w:val="left"/>
              <w:rPr>
                <w:sz w:val="4"/>
                <w:szCs w:val="4"/>
              </w:rPr>
            </w:pPr>
            <w:r>
              <w:rPr>
                <w:sz w:val="4"/>
                <w:szCs w:val="4"/>
              </w:rPr>
            </w:r>
          </w:p>
        </w:tc>
      </w:tr>
      <w:tr>
        <w:trPr/>
        <w:tc>
          <w:tcPr>
            <w:tcW w:w="7677" w:type="dxa"/>
            <w:gridSpan w:val="3"/>
            <w:vMerge w:val="continue"/>
            <w:tcBorders/>
            <w:tcMar>
              <w:top w:w="0" w:type="dxa"/>
              <w:left w:w="0" w:type="dxa"/>
              <w:bottom w:w="0" w:type="dxa"/>
              <w:right w:w="0" w:type="dxa"/>
            </w:tcMar>
            <w:vAlign w:val="center"/>
          </w:tcPr>
          <w:p>
            <w:pPr>
              <w:pStyle w:val="Normal"/>
              <w:bidi w:val="0"/>
              <w:jc w:val="left"/>
              <w:rPr/>
            </w:pPr>
            <w:r>
              <w:rPr/>
            </w:r>
          </w:p>
        </w:tc>
        <w:tc>
          <w:tcPr>
            <w:tcW w:w="2045"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months ended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March 31,</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2026 vs.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7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Water production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surface water use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usage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new customers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Purchased water and groundwater extraction charge, energy price change and other production expenses,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Balancing and memorandum account cost recovery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water production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Administrative and general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Maintenance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taxes and other non-income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change in operating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7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7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Sources of Water Supply</w:t>
      </w:r>
    </w:p>
    <w:p>
      <w:pPr>
        <w:pStyle w:val="TextBody"/>
        <w:bidi w:val="0"/>
        <w:spacing w:lineRule="auto" w:line="288" w:before="12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California Water Supply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SJWC’s water supply consists of groundwater from wells, surface water from watershed run-off and diversion, reclaimed water, and imported water purchased from Valley Water under the terms of a master contract with Valley Water expiring in 2051. During normal rainfall years, purchased water provides approximately 40% to 50% of SJWC’s annual production. An additional 40% to 50% of its water supply is pumped from the underground basin which is subject to a groundwater extraction charge paid to Valley Water. Surface supply, which during a normal rainfall year satisfies about 6% to 8% of SJWC’s annual water supply needs, provides approximately 1% of its water supply in a dry year and approximately 14% in a wet year. In dry years, the decrease in availability of water from surface run-off and diversion and the corresponding increase in purchased and pumped water increases production expenses substantially. The opposite is also true where water production expenses decrease in wet years. In both instances, the impacts of surface water, purchased water, groundwater extraction, and purchased power expenses are tracked in SJWC’s Full Cost Balancing Account (“FCBA”) authorized by the CPUC for cost recovery limiting the impact on operating expenses in the current period.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water conditions remained stable across the State of California. However, due to record heat in the month of March, the Sierra snowpack is well below average at this time of year. At the end of the first quarter, the Sierra snowpack was 6% of normal. As a result of the stable conditions and below average snowpack, in the first quarter of 2026, the California Department of Water Resources (“DWR”) announced the State Water Project allocation at 30% of the contract amount and the U.S. Bureau of Reclamation announced that the Central Valley Project allocation at 70% during the same period. On April 1, 2026, Valley Water’s 10 reservoirs were at 89% of restricted capacity, with 18.3 billion gallons of water in storage. Valley Water’s largest reservoir, Anderson, remained drained for a dam seismic retrofit project. Valley Water also reported that managed groundwater recharge from January 2026 to March 2026 in the Santa Clara Plain was 106% of the five-year average. The groundwater level in the Santa Clara Plain is approximately 3 feet lower than in March 2025. According to Valley Water, the projected total groundwater storage at the end of 2026 is expected to be in the Normal Stage of the Water Shortage Contingency Plan.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March 31, 2026, SJWC’s Lake Elsman was at 100% of capacity with 2.0 billion gallons of water, approximately 128.3% of the five-year seasonal average. In addition, the rainfall at SJWC’s Lake Elsman was measured at 41.0 inches for the period from July 1, 2025 through March 31, 2026, which is 93.7% of the five-year average. SJWC’s Montevina Water Treatment Plant treated 1.1 billion gallons of water through the first quarter of 2026, which is 125.3% of the five-year average. SJWC’s Saratoga Water Treatment Plant treated 31 million gallons of water through the same period. SJWC believes that its various sources of water supply will be sufficient to meet customer demand in 2026.</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California faces long-term water supply challenges. SJWC actively works with Valley Water to meet these challenges by continuing to educate customers on responsible water use practices and conducting long-range water supply planning. Valley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7762667f04184357860c74f0caa907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Water’s 15% voluntary call for conservation and certain watering and water waste rules established in 2023, are still in place for 2026. The call for continued conservation is due to a major storage reservoir currently offline for seismic retrofits.</w:t>
      </w:r>
    </w:p>
    <w:p>
      <w:pPr>
        <w:pStyle w:val="TextBody"/>
        <w:bidi w:val="0"/>
        <w:spacing w:lineRule="auto" w:line="288" w:before="12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Connecticut Water Supply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CWC’s water sources vary among the individual systems, but overall, approximately 60% of the total dependable yield comes from surface water supplies and 40% from wells. In addition, CWC has water supply agreements to supplement its water supply with the South Central Connecticut Regional Water Authority (“RWA”) and The Metropolitan District (“MDC”) that expire in 2058 and 2053, respectively. CWC believes that it will be able to meet customer demand for the remainder of 2026 with its existing water supply which consists of groundwater from wells, surface water in reservoirs and purchased water treated by neighboring water utilities. </w:t>
      </w:r>
    </w:p>
    <w:p>
      <w:pPr>
        <w:pStyle w:val="TextBody"/>
        <w:bidi w:val="0"/>
        <w:spacing w:lineRule="auto" w:line="288" w:before="12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Texas Water Supply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TWC’s water supply consists of groundwater from wells and purchased treated and raw water from local water agencies. TWC has long-term agreements with the Guadalupe-Blanco River Authority (“GBRA”), which expire in 2037, 2040, 2044 and 2050. The agreements, which are take-or-pay contracts, provide TWC with an aggregate of 7,602 acre-feet of water per year from Canyon Lake at prices that may be adjusted periodically by GBRA. TWC also has treated water supply agreements with the Lower Colorado River Authority (“LCRA”) and West Travis County Public Utility Agency (“WTCPUA”) expiring in 2059 and 2046, respectively, to provide for 350 acre-feet of water per year from Lake Austin and the Colorado River, respectively, at prices that may be adjusted periodically by the agencies. Forty active production wells located in a Comal Trinity Groundwater Conservation District, a regulated portion of the Trinity aquifer, are charged a groundwater pump tax based upon usage. TWC expects to meet customer demand for 2026 with TWC’s water supply which consists of groundwater from wells, surface water and purchased treated and raw water from the GBRA, based on current conditions.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August 2023, H2O America TX Holdings Inc.’s unregulated subsidiary, TWR, acquired eight wells and the associated water rights of KT Water Resources LLC (“KTR”). These wells have been projected to yield an additional 6,000 acre-feet per year or more. Development of the KT Water System remains ongoing.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Texas service area is currently experiencing drought conditions that result in water usage restrictions for customers. Significant future capital investment of transmission main and storage facilities in addition to developing additional supply sources is planned for 2026 and beyond.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Maine Water Supply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Water sources at MWC vary among the individual systems, but overall, approximately 90% of the total dependable yield comes from surface water supplies and 10% from wells. MWC believes that it will be able to meet customer demand for 2026 with its existing water supply which consists of groundwater from wells, surface water in reservoirs and rivers, and purchased water treated by neighboring water utilities.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MWC relies on legislatively granted water rights in order to serve customers. In some instances, these rights were granted to predecessor water companies specially chartered by the Maine legislature many decades ago, with those entities later having been merged into MWC. The legislation incorporating these predecessor water companies did not address whether chartered rights may be transferred to another entity without special legislative action. The Maine Business Corporation Act generally provides that property and contract rights of a merged corporation are vested in the surviving corporation without reversion or impairment. In the Maine Public Utilities Commission (“MPUC”) proceedings that approved the mergers of these MWC predecessor companies, the survivorship of water rights was not contested.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change in sources of water supply:</w:t>
      </w:r>
    </w:p>
    <w:tbl>
      <w:tblPr>
        <w:tblW w:w="7898" w:type="dxa"/>
        <w:jc w:val="left"/>
        <w:tblInd w:w="0" w:type="dxa"/>
        <w:tblLayout w:type="fixed"/>
        <w:tblCellMar>
          <w:top w:w="28" w:type="dxa"/>
          <w:left w:w="28" w:type="dxa"/>
          <w:bottom w:w="28" w:type="dxa"/>
          <w:right w:w="28" w:type="dxa"/>
        </w:tblCellMar>
      </w:tblPr>
      <w:tblGrid>
        <w:gridCol w:w="531"/>
        <w:gridCol w:w="467"/>
        <w:gridCol w:w="471"/>
        <w:gridCol w:w="280"/>
        <w:gridCol w:w="280"/>
        <w:gridCol w:w="280"/>
        <w:gridCol w:w="280"/>
        <w:gridCol w:w="280"/>
        <w:gridCol w:w="280"/>
        <w:gridCol w:w="280"/>
        <w:gridCol w:w="280"/>
        <w:gridCol w:w="280"/>
        <w:gridCol w:w="109"/>
        <w:gridCol w:w="109"/>
        <w:gridCol w:w="109"/>
        <w:gridCol w:w="279"/>
        <w:gridCol w:w="279"/>
        <w:gridCol w:w="281"/>
        <w:gridCol w:w="109"/>
        <w:gridCol w:w="109"/>
        <w:gridCol w:w="109"/>
        <w:gridCol w:w="333"/>
        <w:gridCol w:w="333"/>
        <w:gridCol w:w="833"/>
        <w:gridCol w:w="109"/>
        <w:gridCol w:w="109"/>
        <w:gridCol w:w="109"/>
        <w:gridCol w:w="109"/>
        <w:gridCol w:w="109"/>
        <w:gridCol w:w="109"/>
        <w:gridCol w:w="109"/>
        <w:gridCol w:w="154"/>
      </w:tblGrid>
      <w:tr>
        <w:trPr/>
        <w:tc>
          <w:tcPr>
            <w:tcW w:w="53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6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w:t>
              <w:br/>
              <w:t>(decrease)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469" w:type="dxa"/>
            <w:gridSpan w:val="3"/>
            <w:vMerge w:val="continue"/>
            <w:tcBorders/>
            <w:tcMar>
              <w:top w:w="0" w:type="dxa"/>
              <w:left w:w="0" w:type="dxa"/>
              <w:bottom w:w="0" w:type="dxa"/>
              <w:right w:w="0" w:type="dxa"/>
            </w:tcMar>
            <w:vAlign w:val="center"/>
          </w:tcPr>
          <w:p>
            <w:pPr>
              <w:pStyle w:val="Normal"/>
              <w:bidi w:val="0"/>
              <w:jc w:val="left"/>
              <w:rPr/>
            </w:pPr>
            <w:r>
              <w:rPr/>
            </w:r>
          </w:p>
        </w:tc>
        <w:tc>
          <w:tcPr>
            <w:tcW w:w="8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8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99"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(billion gallons)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Purchased water</w:t>
            </w:r>
          </w:p>
        </w:tc>
        <w:tc>
          <w:tcPr>
            <w:tcW w:w="5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Groundwater</w:t>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Surface water</w:t>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Reclaimed water</w:t>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changes in the source of supply mix were consistent with the changes in the water production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7762667f04184357860c74f0caa907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495"/>
        <w:jc w:val="left"/>
        <w:rPr>
          <w:rFonts w:ascii="Times New Roman;serif" w:hAnsi="Times New Roman;serif"/>
          <w:b/>
          <w:color w:val="000000"/>
          <w:sz w:val="20"/>
        </w:rPr>
      </w:pPr>
      <w:r>
        <w:rPr>
          <w:rFonts w:ascii="Times New Roman;serif" w:hAnsi="Times New Roman;serif"/>
          <w:b/>
          <w:color w:val="000000"/>
          <w:sz w:val="20"/>
        </w:rPr>
        <w:t>Water Production Expenses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increase in water production expenses of $7.5 million for the three months ended March 31, 2026, compared to the same period in 2025, was primarily attributable to increases in average per unit costs for purchased water and groundwater extraction, higher customer usage, and increases in water production balancing and memorandum accounts primarily relating to the FCBA partially offset by decreases in costs as a result of increased availability of surface water.</w:t>
      </w:r>
    </w:p>
    <w:p>
      <w:pPr>
        <w:pStyle w:val="TextBody"/>
        <w:bidi w:val="0"/>
        <w:spacing w:lineRule="auto" w:line="288" w:before="120" w:after="283"/>
        <w:ind w:left="0" w:right="0" w:firstLine="495"/>
        <w:jc w:val="left"/>
        <w:rPr>
          <w:rFonts w:ascii="Times New Roman;serif" w:hAnsi="Times New Roman;serif"/>
          <w:b/>
          <w:color w:val="000000"/>
          <w:sz w:val="20"/>
        </w:rPr>
      </w:pPr>
      <w:r>
        <w:rPr>
          <w:rFonts w:ascii="Times New Roman;serif" w:hAnsi="Times New Roman;serif"/>
          <w:b/>
          <w:color w:val="000000"/>
          <w:sz w:val="20"/>
        </w:rPr>
        <w:t>Other Operating Expenses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 excluding water production expenses, increased $6.7 million for the three months ended March 31, 2026, compared to the same period in 2025. The increase was primarily attributable to increases in depreciation and amortization for new utility plant placed in service, increased maintenance, employee-related costs and higher non-labor administrative and general expenses.</w:t>
      </w:r>
    </w:p>
    <w:p>
      <w:pPr>
        <w:pStyle w:val="TextBody"/>
        <w:bidi w:val="0"/>
        <w:spacing w:lineRule="auto" w:line="288" w:before="120" w:after="283"/>
        <w:ind w:left="0" w:right="0" w:firstLine="495"/>
        <w:jc w:val="left"/>
        <w:rPr>
          <w:rFonts w:ascii="Times New Roman;serif" w:hAnsi="Times New Roman;serif"/>
          <w:b/>
          <w:color w:val="000000"/>
          <w:sz w:val="20"/>
        </w:rPr>
      </w:pPr>
      <w:r>
        <w:rPr>
          <w:rFonts w:ascii="Times New Roman;serif" w:hAnsi="Times New Roman;serif"/>
          <w:b/>
          <w:color w:val="000000"/>
          <w:sz w:val="20"/>
        </w:rPr>
        <w:t>Other (Expense) Income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compared to the same period in 2025, the change in other (expense) income of $0.9 million was primarily due to higher income from the equity portion of the Allowance for Funds Used During Construction (AFUDC), an increase in interest expense, and an increase in pension non-service credit.</w:t>
      </w:r>
    </w:p>
    <w:p>
      <w:pPr>
        <w:pStyle w:val="TextBody"/>
        <w:bidi w:val="0"/>
        <w:spacing w:lineRule="auto" w:line="268" w:before="120" w:after="283"/>
        <w:ind w:left="0" w:right="0" w:firstLine="495"/>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68" w:before="120" w:after="283"/>
        <w:jc w:val="left"/>
        <w:rPr>
          <w:rFonts w:ascii="Times New Roman;serif" w:hAnsi="Times New Roman;serif"/>
          <w:b w:val="false"/>
          <w:color w:val="000000"/>
          <w:sz w:val="20"/>
        </w:rPr>
      </w:pPr>
      <w:r>
        <w:rPr>
          <w:rFonts w:ascii="Times New Roman;serif" w:hAnsi="Times New Roman;serif"/>
          <w:b w:val="false"/>
          <w:color w:val="000000"/>
          <w:sz w:val="20"/>
        </w:rPr>
        <w:t>H2O America's net income and diluted EPS are prepared in accordance with GAAP. Adjusted net income and Adjusted diluted EPS are non-GAAP financial measures representing GAAP earnings adjusted to exclude the effects of non-utility real estate transactions and costs associated with mergers and acquisition activities, if any. These non-GAAP financial measures are provided as additional information for investors to evaluate the performance of H2O America's business activities excluding these items. Management also believes these non-GAAP financial measures help investors and analysts better understand our actual results compared to our guidance on a non-GAAP basis. H2O America uses adjusted net income and/or adjusted diluted EPS as the primary performance measurements when communicating with analysts and investors regarding our outlook and results. Adjusted net income and Adjusted diluted EPS are also used internally to measure performance. However, these non-GAAP financial measures may be different from non-GAAP financial measures used by other companies, even when the same or similarly titled terms are used to identify such measures, limiting their usefulness for comparative purposes. Further, these non-GAAP financial measures should be considered as a supplement to the financial information prepared on a GAAP basis rather than an alternative to the respective GAAP financial measures.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tables reconcile Net Income and EPS, each as defined under GAAP, to our non-GAAP financial measures of Adjusted Net Income and Adjusted EPS for the three months ended March 31, 2026, compared to the same period in 2025:</w:t>
      </w:r>
    </w:p>
    <w:tbl>
      <w:tblPr>
        <w:tblW w:w="8491" w:type="dxa"/>
        <w:jc w:val="left"/>
        <w:tblInd w:w="0" w:type="dxa"/>
        <w:tblLayout w:type="fixed"/>
        <w:tblCellMar>
          <w:top w:w="28" w:type="dxa"/>
          <w:left w:w="28" w:type="dxa"/>
          <w:bottom w:w="28" w:type="dxa"/>
          <w:right w:w="28" w:type="dxa"/>
        </w:tblCellMar>
      </w:tblPr>
      <w:tblGrid>
        <w:gridCol w:w="1893"/>
        <w:gridCol w:w="1664"/>
        <w:gridCol w:w="1677"/>
        <w:gridCol w:w="293"/>
        <w:gridCol w:w="1002"/>
        <w:gridCol w:w="151"/>
        <w:gridCol w:w="151"/>
        <w:gridCol w:w="151"/>
        <w:gridCol w:w="151"/>
        <w:gridCol w:w="360"/>
        <w:gridCol w:w="361"/>
        <w:gridCol w:w="156"/>
        <w:gridCol w:w="109"/>
        <w:gridCol w:w="109"/>
        <w:gridCol w:w="109"/>
        <w:gridCol w:w="154"/>
      </w:tblGrid>
      <w:tr>
        <w:trPr/>
        <w:tc>
          <w:tcPr>
            <w:tcW w:w="1893"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Reported GAAP Net Income:</w:t>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(Gain) loss on sale of real estate investments</w:t>
            </w:r>
            <w:r>
              <w:rPr>
                <w:rFonts w:ascii="Times New Roman;serif" w:hAnsi="Times New Roman;serif"/>
                <w:b w:val="false"/>
                <w:color w:val="000000"/>
                <w:sz w:val="13"/>
              </w:rPr>
              <w:t>1</w:t>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Expense for merger and acquisition related activities</w:t>
            </w:r>
            <w:r>
              <w:rPr>
                <w:rFonts w:ascii="Times New Roman;serif" w:hAnsi="Times New Roman;serif"/>
                <w:b w:val="false"/>
                <w:color w:val="000000"/>
                <w:sz w:val="13"/>
              </w:rPr>
              <w:t>1</w:t>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Tax effect of above adjustments</w:t>
            </w:r>
            <w:r>
              <w:rPr>
                <w:rFonts w:ascii="Times New Roman;serif" w:hAnsi="Times New Roman;serif"/>
                <w:b w:val="false"/>
                <w:color w:val="000000"/>
                <w:sz w:val="13"/>
              </w:rPr>
              <w:t>2</w:t>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Income (non-GAAP)</w:t>
            </w:r>
          </w:p>
        </w:tc>
        <w:tc>
          <w:tcPr>
            <w:tcW w:w="12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19,415 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Reported GAAP Diluted Earnings Per Share</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sale of real estate investments, net of tax</w:t>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 for merger and acquisition related activities, net of tax</w:t>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Diluted Earnings Per Share (non-GAAP)</w:t>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0.50 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0.50 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14"/>
        </w:rPr>
      </w:pPr>
      <w:r>
        <w:rPr>
          <w:rFonts w:ascii="Times New Roman;serif" w:hAnsi="Times New Roman;serif"/>
          <w:b w:val="false"/>
          <w:color w:val="000000"/>
          <w:sz w:val="14"/>
        </w:rPr>
        <w:t>1 Included in the "Administrative and general" and “Other, net” lines on the consolidated statements of comprehensive income.</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2 The tax effect on all adjustments is calculated at the applicable statutory rate.</w:t>
      </w:r>
    </w:p>
    <w:p>
      <w:pPr>
        <w:pStyle w:val="TextBody"/>
        <w:bidi w:val="0"/>
        <w:spacing w:lineRule="auto" w:line="288" w:before="120" w:after="283"/>
        <w:ind w:left="0" w:right="0" w:firstLine="495"/>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Regulation and Rates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Almost all of the operating revenue of H2O America results from the sale of water at rates authorized by the subsidiaries’ respective state utilities commissions. The state utilities commissions set rates that are intended to provide revenue sufficient to recover operating expenses and the opportunity to achieve a specified return on common equity. The timing of rate decisions could have an impact on the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7762667f04184357860c74f0caa90717_7">
        <w:r>
          <w:rPr>
            <w:rStyle w:val="InternetLink"/>
            <w:rFonts w:ascii="Times New Roman;serif" w:hAnsi="Times New Roman;serif"/>
            <w:b w:val="false"/>
            <w:color w:val="0000FF"/>
            <w:sz w:val="20"/>
            <w:u w:val="single"/>
          </w:rPr>
          <w:t>Table of Contents</w:t>
        </w:r>
      </w:hyperlink>
    </w:p>
    <w:p>
      <w:pPr>
        <w:pStyle w:val="TextBody"/>
        <w:bidi w:val="0"/>
        <w:spacing w:lineRule="auto" w:line="256" w:before="160" w:after="283"/>
        <w:jc w:val="left"/>
        <w:rPr/>
      </w:pPr>
      <w:r>
        <w:rPr>
          <w:rFonts w:ascii="Times New Roman;serif" w:hAnsi="Times New Roman;serif"/>
          <w:b w:val="false"/>
          <w:color w:val="000000"/>
          <w:sz w:val="20"/>
        </w:rPr>
        <w:t xml:space="preserve">Please also see </w:t>
      </w:r>
      <w:hyperlink w:anchor="i7762667f04184357860c74f0caa90717_37">
        <w:r>
          <w:rPr>
            <w:rStyle w:val="InternetLink"/>
            <w:rFonts w:ascii="Times New Roman;serif" w:hAnsi="Times New Roman;serif"/>
            <w:b w:val="false"/>
            <w:color w:val="0000FF"/>
            <w:sz w:val="20"/>
            <w:u w:val="single"/>
          </w:rPr>
          <w:t>Note 2</w:t>
        </w:r>
      </w:hyperlink>
      <w:r>
        <w:rPr>
          <w:color w:val="000000"/>
        </w:rPr>
        <w:t xml:space="preserve"> “</w:t>
      </w:r>
      <w:r>
        <w:rPr>
          <w:rFonts w:ascii="Times New Roman;serif" w:hAnsi="Times New Roman;serif"/>
          <w:b w:val="false"/>
          <w:color w:val="000000"/>
          <w:sz w:val="20"/>
        </w:rPr>
        <w:t>Regulatory Matters”.</w:t>
      </w:r>
    </w:p>
    <w:p>
      <w:pPr>
        <w:pStyle w:val="TextBody"/>
        <w:bidi w:val="0"/>
        <w:spacing w:lineRule="auto" w:line="256" w:before="16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describes current rate related activities as applicable for Water Utility Services:</w:t>
      </w:r>
    </w:p>
    <w:tbl>
      <w:tblPr>
        <w:tblW w:w="10205" w:type="dxa"/>
        <w:jc w:val="left"/>
        <w:tblInd w:w="0" w:type="dxa"/>
        <w:tblLayout w:type="fixed"/>
        <w:tblCellMar>
          <w:top w:w="28" w:type="dxa"/>
          <w:left w:w="28" w:type="dxa"/>
          <w:bottom w:w="28" w:type="dxa"/>
          <w:right w:w="28" w:type="dxa"/>
        </w:tblCellMar>
      </w:tblPr>
      <w:tblGrid>
        <w:gridCol w:w="342"/>
        <w:gridCol w:w="301"/>
        <w:gridCol w:w="303"/>
        <w:gridCol w:w="375"/>
        <w:gridCol w:w="375"/>
        <w:gridCol w:w="376"/>
        <w:gridCol w:w="1120"/>
        <w:gridCol w:w="839"/>
        <w:gridCol w:w="842"/>
        <w:gridCol w:w="612"/>
        <w:gridCol w:w="502"/>
        <w:gridCol w:w="504"/>
        <w:gridCol w:w="477"/>
        <w:gridCol w:w="464"/>
        <w:gridCol w:w="466"/>
        <w:gridCol w:w="726"/>
        <w:gridCol w:w="653"/>
        <w:gridCol w:w="928"/>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Company</w:t>
            </w:r>
          </w:p>
        </w:tc>
        <w:tc>
          <w:tcPr>
            <w:tcW w:w="11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Jurisdiction</w:t>
            </w:r>
          </w:p>
        </w:tc>
        <w:tc>
          <w:tcPr>
            <w:tcW w:w="28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Regulatory Mechanism / Filing</w:t>
            </w:r>
          </w:p>
        </w:tc>
        <w:tc>
          <w:tcPr>
            <w:tcW w:w="161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Revenue Impact</w:t>
            </w:r>
          </w:p>
        </w:tc>
        <w:tc>
          <w:tcPr>
            <w:tcW w:w="140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Approval / Decision Date</w:t>
            </w:r>
          </w:p>
        </w:tc>
        <w:tc>
          <w:tcPr>
            <w:tcW w:w="230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Rates Effective</w:t>
            </w:r>
          </w:p>
        </w:tc>
      </w:tr>
      <w:tr>
        <w:trPr/>
        <w:tc>
          <w:tcPr>
            <w:tcW w:w="10205"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Approved Regulatory Proceedings</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SJWC</w:t>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c>
          <w:tcPr>
            <w:tcW w:w="2801"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Advice Letter No. 613 – Revenue Requirement and Balancing and Memorandum account Recovery</w:t>
            </w:r>
          </w:p>
        </w:tc>
        <w:tc>
          <w:tcPr>
            <w:tcW w:w="161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$21.3 million increase; $15.8 million recovery</w:t>
            </w:r>
          </w:p>
        </w:tc>
        <w:tc>
          <w:tcPr>
            <w:tcW w:w="140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Approved December 2024 (D.24-12-077)</w:t>
            </w:r>
          </w:p>
        </w:tc>
        <w:tc>
          <w:tcPr>
            <w:tcW w:w="230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January 1, 2025</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SJWC</w:t>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c>
          <w:tcPr>
            <w:tcW w:w="280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Advice Letter No. 616 – Purchased Water / Groundwater Offset</w:t>
            </w:r>
          </w:p>
        </w:tc>
        <w:tc>
          <w:tcPr>
            <w:tcW w:w="161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$22.5 million increase</w:t>
            </w:r>
          </w:p>
        </w:tc>
        <w:tc>
          <w:tcPr>
            <w:tcW w:w="140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Approved May 2025</w:t>
            </w:r>
          </w:p>
        </w:tc>
        <w:tc>
          <w:tcPr>
            <w:tcW w:w="230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July 1, 2025</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SJWC</w:t>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c>
          <w:tcPr>
            <w:tcW w:w="2801"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Advice Letter No. 617 – Advanced Metering Infrastructure (“AMI”) Project Recovery</w:t>
            </w:r>
          </w:p>
        </w:tc>
        <w:tc>
          <w:tcPr>
            <w:tcW w:w="161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$6.8 million increase</w:t>
            </w:r>
          </w:p>
        </w:tc>
        <w:tc>
          <w:tcPr>
            <w:tcW w:w="140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Approved May 2025</w:t>
            </w:r>
          </w:p>
        </w:tc>
        <w:tc>
          <w:tcPr>
            <w:tcW w:w="230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July 1, 2025</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SJWC</w:t>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c>
          <w:tcPr>
            <w:tcW w:w="280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Advice Letter No. 618 – Water Contamination Litigation Memorandum Account (“WCLMA”)</w:t>
            </w:r>
          </w:p>
        </w:tc>
        <w:tc>
          <w:tcPr>
            <w:tcW w:w="161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No immediate revenue impact</w:t>
            </w:r>
          </w:p>
        </w:tc>
        <w:tc>
          <w:tcPr>
            <w:tcW w:w="140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Approved July 2025</w:t>
            </w:r>
          </w:p>
        </w:tc>
        <w:tc>
          <w:tcPr>
            <w:tcW w:w="230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June 24, 2025</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SJWC</w:t>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c>
          <w:tcPr>
            <w:tcW w:w="2801"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Advice Letter No. 620 – Ground Water Regulation Legal Expenses Memorandum Account (“GWRLEMA”) </w:t>
            </w:r>
          </w:p>
        </w:tc>
        <w:tc>
          <w:tcPr>
            <w:tcW w:w="161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No immediate revenue impact</w:t>
            </w:r>
          </w:p>
        </w:tc>
        <w:tc>
          <w:tcPr>
            <w:tcW w:w="140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Approved October 2025</w:t>
            </w:r>
          </w:p>
        </w:tc>
        <w:tc>
          <w:tcPr>
            <w:tcW w:w="230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14, 2025</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SJWC</w:t>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c>
          <w:tcPr>
            <w:tcW w:w="280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Advice Letter No. 621A – Revenue Requirement Increase</w:t>
            </w:r>
          </w:p>
        </w:tc>
        <w:tc>
          <w:tcPr>
            <w:tcW w:w="161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$17.2 million increase</w:t>
            </w:r>
          </w:p>
        </w:tc>
        <w:tc>
          <w:tcPr>
            <w:tcW w:w="140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Approved December 2025</w:t>
            </w:r>
          </w:p>
        </w:tc>
        <w:tc>
          <w:tcPr>
            <w:tcW w:w="230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January 1, 2026</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SJWC</w:t>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c>
          <w:tcPr>
            <w:tcW w:w="2801"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Cost of Capital (“COC”) Filing Deferment</w:t>
            </w:r>
          </w:p>
        </w:tc>
        <w:tc>
          <w:tcPr>
            <w:tcW w:w="161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No change expected</w:t>
            </w:r>
          </w:p>
        </w:tc>
        <w:tc>
          <w:tcPr>
            <w:tcW w:w="140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Approved November 2025</w:t>
            </w:r>
          </w:p>
        </w:tc>
        <w:tc>
          <w:tcPr>
            <w:tcW w:w="230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timing for the next COC filing will be May 1, 2027, approximately effective January 1, 2028 </w:t>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2801" w:type="dxa"/>
            <w:gridSpan w:val="3"/>
            <w:tcBorders/>
            <w:vAlign w:val="center"/>
          </w:tcPr>
          <w:p>
            <w:pPr>
              <w:pStyle w:val="TableContents"/>
              <w:bidi w:val="0"/>
              <w:spacing w:before="0" w:after="283"/>
              <w:jc w:val="left"/>
              <w:rPr>
                <w:sz w:val="4"/>
                <w:szCs w:val="4"/>
              </w:rPr>
            </w:pPr>
            <w:r>
              <w:rPr>
                <w:sz w:val="4"/>
                <w:szCs w:val="4"/>
              </w:rPr>
            </w:r>
          </w:p>
        </w:tc>
        <w:tc>
          <w:tcPr>
            <w:tcW w:w="1618"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2307" w:type="dxa"/>
            <w:gridSpan w:val="3"/>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2801" w:type="dxa"/>
            <w:gridSpan w:val="3"/>
            <w:tcBorders/>
            <w:vAlign w:val="center"/>
          </w:tcPr>
          <w:p>
            <w:pPr>
              <w:pStyle w:val="TableContents"/>
              <w:bidi w:val="0"/>
              <w:spacing w:before="0" w:after="283"/>
              <w:jc w:val="left"/>
              <w:rPr>
                <w:sz w:val="4"/>
                <w:szCs w:val="4"/>
              </w:rPr>
            </w:pPr>
            <w:r>
              <w:rPr>
                <w:sz w:val="4"/>
                <w:szCs w:val="4"/>
              </w:rPr>
            </w:r>
          </w:p>
        </w:tc>
        <w:tc>
          <w:tcPr>
            <w:tcW w:w="1618"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2307" w:type="dxa"/>
            <w:gridSpan w:val="3"/>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CWC</w:t>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Connecticut</w:t>
            </w:r>
          </w:p>
        </w:tc>
        <w:tc>
          <w:tcPr>
            <w:tcW w:w="280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2024 Water Infrastructure Conservation Adjustment (“WICA”) Reconciliation and Increase</w:t>
            </w:r>
          </w:p>
        </w:tc>
        <w:tc>
          <w:tcPr>
            <w:tcW w:w="161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$1.6 million surcharge, $6.0 million annual collection</w:t>
            </w:r>
          </w:p>
        </w:tc>
        <w:tc>
          <w:tcPr>
            <w:tcW w:w="140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Approved March 2025</w:t>
            </w:r>
          </w:p>
        </w:tc>
        <w:tc>
          <w:tcPr>
            <w:tcW w:w="230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April 1, 2025</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CWC</w:t>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Connecticut</w:t>
            </w:r>
          </w:p>
        </w:tc>
        <w:tc>
          <w:tcPr>
            <w:tcW w:w="2801"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2024 Water Rate Adjustment mechanism (“WRA”)</w:t>
            </w:r>
          </w:p>
        </w:tc>
        <w:tc>
          <w:tcPr>
            <w:tcW w:w="161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$4.6 million surcharge</w:t>
            </w:r>
          </w:p>
        </w:tc>
        <w:tc>
          <w:tcPr>
            <w:tcW w:w="140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Approved March 2025</w:t>
            </w:r>
          </w:p>
        </w:tc>
        <w:tc>
          <w:tcPr>
            <w:tcW w:w="230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April 1, 2025</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CWC</w:t>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Connecticut</w:t>
            </w:r>
          </w:p>
        </w:tc>
        <w:tc>
          <w:tcPr>
            <w:tcW w:w="280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2025 WICA Increase</w:t>
            </w:r>
          </w:p>
        </w:tc>
        <w:tc>
          <w:tcPr>
            <w:tcW w:w="161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$3.1 million surcharge, $9.1 million annual collection</w:t>
            </w:r>
          </w:p>
        </w:tc>
        <w:tc>
          <w:tcPr>
            <w:tcW w:w="140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Approved July 2025</w:t>
            </w:r>
          </w:p>
        </w:tc>
        <w:tc>
          <w:tcPr>
            <w:tcW w:w="230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October 1, 2025</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CWC</w:t>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Connecticut</w:t>
            </w:r>
          </w:p>
        </w:tc>
        <w:tc>
          <w:tcPr>
            <w:tcW w:w="280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Water Quality and Treatment Adjustment (“WQTA”)</w:t>
            </w:r>
          </w:p>
        </w:tc>
        <w:tc>
          <w:tcPr>
            <w:tcW w:w="161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$0.6 million surcharge</w:t>
            </w:r>
          </w:p>
        </w:tc>
        <w:tc>
          <w:tcPr>
            <w:tcW w:w="140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Approved March 2026</w:t>
            </w:r>
          </w:p>
        </w:tc>
        <w:tc>
          <w:tcPr>
            <w:tcW w:w="230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April 1, 2026</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CWC</w:t>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Connecticut</w:t>
            </w:r>
          </w:p>
        </w:tc>
        <w:tc>
          <w:tcPr>
            <w:tcW w:w="280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2025 WRA</w:t>
            </w:r>
          </w:p>
        </w:tc>
        <w:tc>
          <w:tcPr>
            <w:tcW w:w="161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$7.2 million surcharge</w:t>
            </w:r>
          </w:p>
        </w:tc>
        <w:tc>
          <w:tcPr>
            <w:tcW w:w="140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Approved March 2026</w:t>
            </w:r>
          </w:p>
        </w:tc>
        <w:tc>
          <w:tcPr>
            <w:tcW w:w="230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April 1, 2026</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7762667f04184357860c74f0caa90717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23"/>
        <w:gridCol w:w="195"/>
        <w:gridCol w:w="198"/>
        <w:gridCol w:w="370"/>
        <w:gridCol w:w="370"/>
        <w:gridCol w:w="371"/>
        <w:gridCol w:w="975"/>
        <w:gridCol w:w="918"/>
        <w:gridCol w:w="921"/>
        <w:gridCol w:w="1050"/>
        <w:gridCol w:w="1050"/>
        <w:gridCol w:w="1053"/>
        <w:gridCol w:w="396"/>
        <w:gridCol w:w="396"/>
        <w:gridCol w:w="397"/>
        <w:gridCol w:w="488"/>
        <w:gridCol w:w="389"/>
        <w:gridCol w:w="445"/>
      </w:tblGrid>
      <w:tr>
        <w:trPr/>
        <w:tc>
          <w:tcPr>
            <w:tcW w:w="2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CWC</w:t>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Connecticut</w:t>
            </w:r>
          </w:p>
        </w:tc>
        <w:tc>
          <w:tcPr>
            <w:tcW w:w="281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2025 WICA Reconciliation and Increase</w:t>
            </w:r>
          </w:p>
        </w:tc>
        <w:tc>
          <w:tcPr>
            <w:tcW w:w="3153"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Increase of $2.7 million surcharge and reconciliation surcharge of $0.3 million. $12.1 million annual collection</w:t>
            </w:r>
          </w:p>
        </w:tc>
        <w:tc>
          <w:tcPr>
            <w:tcW w:w="118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Approved March 2026</w:t>
            </w:r>
          </w:p>
        </w:tc>
        <w:tc>
          <w:tcPr>
            <w:tcW w:w="132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April 1, 2026</w:t>
            </w:r>
          </w:p>
        </w:tc>
      </w:tr>
      <w:tr>
        <w:trPr/>
        <w:tc>
          <w:tcPr>
            <w:tcW w:w="616"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2814" w:type="dxa"/>
            <w:gridSpan w:val="3"/>
            <w:tcBorders/>
            <w:vAlign w:val="center"/>
          </w:tcPr>
          <w:p>
            <w:pPr>
              <w:pStyle w:val="TableContents"/>
              <w:bidi w:val="0"/>
              <w:spacing w:before="0" w:after="283"/>
              <w:jc w:val="left"/>
              <w:rPr>
                <w:sz w:val="4"/>
                <w:szCs w:val="4"/>
              </w:rPr>
            </w:pPr>
            <w:r>
              <w:rPr>
                <w:sz w:val="4"/>
                <w:szCs w:val="4"/>
              </w:rPr>
            </w:r>
          </w:p>
        </w:tc>
        <w:tc>
          <w:tcPr>
            <w:tcW w:w="3153"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r>
      <w:tr>
        <w:trPr/>
        <w:tc>
          <w:tcPr>
            <w:tcW w:w="616"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2814" w:type="dxa"/>
            <w:gridSpan w:val="3"/>
            <w:tcBorders/>
            <w:vAlign w:val="center"/>
          </w:tcPr>
          <w:p>
            <w:pPr>
              <w:pStyle w:val="TableContents"/>
              <w:bidi w:val="0"/>
              <w:spacing w:before="0" w:after="283"/>
              <w:jc w:val="left"/>
              <w:rPr>
                <w:sz w:val="4"/>
                <w:szCs w:val="4"/>
              </w:rPr>
            </w:pPr>
            <w:r>
              <w:rPr>
                <w:sz w:val="4"/>
                <w:szCs w:val="4"/>
              </w:rPr>
            </w:r>
          </w:p>
        </w:tc>
        <w:tc>
          <w:tcPr>
            <w:tcW w:w="3153"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MWC</w:t>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Maine</w:t>
            </w:r>
          </w:p>
        </w:tc>
        <w:tc>
          <w:tcPr>
            <w:tcW w:w="281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Camden Rockland General Rate Case</w:t>
            </w:r>
          </w:p>
        </w:tc>
        <w:tc>
          <w:tcPr>
            <w:tcW w:w="315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$0.9 million increase</w:t>
            </w:r>
          </w:p>
        </w:tc>
        <w:tc>
          <w:tcPr>
            <w:tcW w:w="118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Approved June 2025</w:t>
            </w:r>
          </w:p>
        </w:tc>
        <w:tc>
          <w:tcPr>
            <w:tcW w:w="132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July 1, 2025</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MWC</w:t>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Maine</w:t>
            </w:r>
          </w:p>
        </w:tc>
        <w:tc>
          <w:tcPr>
            <w:tcW w:w="281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Water Infrastructure Surcharge (“WISC”) for Oakland and Biddeford Saco divisions</w:t>
            </w:r>
          </w:p>
        </w:tc>
        <w:tc>
          <w:tcPr>
            <w:tcW w:w="3153"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$0.5 million surcharge</w:t>
            </w:r>
          </w:p>
        </w:tc>
        <w:tc>
          <w:tcPr>
            <w:tcW w:w="118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Approved June 2025</w:t>
            </w:r>
          </w:p>
        </w:tc>
        <w:tc>
          <w:tcPr>
            <w:tcW w:w="132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July 1, 2025</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MWC</w:t>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Maine</w:t>
            </w:r>
          </w:p>
        </w:tc>
        <w:tc>
          <w:tcPr>
            <w:tcW w:w="281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Request to establish a unified tariff across its ten separate rate divisions.</w:t>
            </w:r>
          </w:p>
        </w:tc>
        <w:tc>
          <w:tcPr>
            <w:tcW w:w="315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No revenue impact</w:t>
            </w:r>
          </w:p>
        </w:tc>
        <w:tc>
          <w:tcPr>
            <w:tcW w:w="118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Approved January 2026</w:t>
            </w:r>
          </w:p>
        </w:tc>
        <w:tc>
          <w:tcPr>
            <w:tcW w:w="132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 2026</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TWC</w:t>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Texas</w:t>
            </w:r>
          </w:p>
        </w:tc>
        <w:tc>
          <w:tcPr>
            <w:tcW w:w="281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Amended System Improvement Charge (“SIC”)</w:t>
            </w:r>
          </w:p>
        </w:tc>
        <w:tc>
          <w:tcPr>
            <w:tcW w:w="3153"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Increase of $3.9 million for water and $0.2 million for sewer</w:t>
            </w:r>
          </w:p>
        </w:tc>
        <w:tc>
          <w:tcPr>
            <w:tcW w:w="118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Approved May 2025</w:t>
            </w:r>
          </w:p>
        </w:tc>
        <w:tc>
          <w:tcPr>
            <w:tcW w:w="132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May 15, 2025</w:t>
            </w:r>
          </w:p>
        </w:tc>
      </w:tr>
      <w:tr>
        <w:trPr/>
        <w:tc>
          <w:tcPr>
            <w:tcW w:w="10205" w:type="dxa"/>
            <w:gridSpan w:val="18"/>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Pending Regulatory Proceedings</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SJWC</w:t>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California</w:t>
            </w:r>
          </w:p>
        </w:tc>
        <w:tc>
          <w:tcPr>
            <w:tcW w:w="281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Cost of Recovery of Per- and Polyfluoroalkyl Substances (“PFAS”) Compliance Program</w:t>
            </w:r>
          </w:p>
        </w:tc>
        <w:tc>
          <w:tcPr>
            <w:tcW w:w="3153"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No immediate revenue impact</w:t>
            </w:r>
          </w:p>
        </w:tc>
        <w:tc>
          <w:tcPr>
            <w:tcW w:w="118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Filed April 10, 2026</w:t>
            </w:r>
          </w:p>
        </w:tc>
        <w:tc>
          <w:tcPr>
            <w:tcW w:w="132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Expected Q4 2027</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CWC</w:t>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Connecticut</w:t>
            </w:r>
          </w:p>
        </w:tc>
        <w:tc>
          <w:tcPr>
            <w:tcW w:w="2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Rate Case – Letter of Intent</w:t>
            </w:r>
          </w:p>
        </w:tc>
        <w:tc>
          <w:tcPr>
            <w:tcW w:w="315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$26 million increase</w:t>
            </w:r>
          </w:p>
        </w:tc>
        <w:tc>
          <w:tcPr>
            <w:tcW w:w="118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Filed March 13, 2026</w:t>
            </w:r>
          </w:p>
        </w:tc>
        <w:tc>
          <w:tcPr>
            <w:tcW w:w="132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February 2027</w:t>
            </w:r>
          </w:p>
        </w:tc>
      </w:tr>
      <w:tr>
        <w:trPr/>
        <w:tc>
          <w:tcPr>
            <w:tcW w:w="616"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2814" w:type="dxa"/>
            <w:gridSpan w:val="3"/>
            <w:tcBorders/>
            <w:vAlign w:val="center"/>
          </w:tcPr>
          <w:p>
            <w:pPr>
              <w:pStyle w:val="TableContents"/>
              <w:bidi w:val="0"/>
              <w:spacing w:before="0" w:after="283"/>
              <w:jc w:val="left"/>
              <w:rPr>
                <w:sz w:val="4"/>
                <w:szCs w:val="4"/>
              </w:rPr>
            </w:pPr>
            <w:r>
              <w:rPr>
                <w:sz w:val="4"/>
                <w:szCs w:val="4"/>
              </w:rPr>
            </w:r>
          </w:p>
        </w:tc>
        <w:tc>
          <w:tcPr>
            <w:tcW w:w="3153"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MWC</w:t>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Maine</w:t>
            </w:r>
          </w:p>
        </w:tc>
        <w:tc>
          <w:tcPr>
            <w:tcW w:w="281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WISC</w:t>
            </w:r>
          </w:p>
        </w:tc>
        <w:tc>
          <w:tcPr>
            <w:tcW w:w="3153"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$0.9 million surcharge</w:t>
            </w:r>
          </w:p>
        </w:tc>
        <w:tc>
          <w:tcPr>
            <w:tcW w:w="118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Filed February 27, 2026</w:t>
            </w:r>
          </w:p>
        </w:tc>
        <w:tc>
          <w:tcPr>
            <w:tcW w:w="132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Q2 2026</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MWC</w:t>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Maine</w:t>
            </w:r>
          </w:p>
        </w:tc>
        <w:tc>
          <w:tcPr>
            <w:tcW w:w="281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Rate Case</w:t>
            </w:r>
          </w:p>
        </w:tc>
        <w:tc>
          <w:tcPr>
            <w:tcW w:w="315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$9.5 million increase</w:t>
            </w:r>
          </w:p>
        </w:tc>
        <w:tc>
          <w:tcPr>
            <w:tcW w:w="118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Filed April 13, 2026</w:t>
            </w:r>
          </w:p>
        </w:tc>
        <w:tc>
          <w:tcPr>
            <w:tcW w:w="132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Q2 2027</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TWC</w:t>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Texas</w:t>
            </w:r>
          </w:p>
        </w:tc>
        <w:tc>
          <w:tcPr>
            <w:tcW w:w="281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Second SIC Amendment</w:t>
            </w:r>
          </w:p>
        </w:tc>
        <w:tc>
          <w:tcPr>
            <w:tcW w:w="3153"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Increase of $4.7 million for water and $0.3 million for sewer</w:t>
            </w:r>
          </w:p>
        </w:tc>
        <w:tc>
          <w:tcPr>
            <w:tcW w:w="118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Filed October 6, 2025</w:t>
            </w:r>
          </w:p>
        </w:tc>
        <w:tc>
          <w:tcPr>
            <w:tcW w:w="132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Expected second half of 2026</w:t>
            </w:r>
          </w:p>
        </w:tc>
      </w:tr>
    </w:tbl>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In addition to filings included in the above table, TWC is required to file a general rate case on or before March 21, 2028.</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Liquidity: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Water Utility Services’ business derives the majority of its revenue directly from residential and business customers. Management asserts that the collection rate for its accounts receivables has improved as the ability to use service disconnections has returned to normal.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Funds collected from Water Utility Services’ customers are used to pay for water production expenses, in addition to costs associated with general operations. Funds were also generated from borrowings.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the three months ended March 31, 2026, H2O America and its subsidiaries received $290.2 million in proceeds from an underwritten offer of common stock. From these amounts, H2O America expects to fund its acquisition of Quadvest L.P. and Quadvest Wholesale LLC and capital expenditures. See Note 3 “Capitalization” and Note 4 "Lines of Credit and Long-term Liabilities” for discussion on the equity and debt financing activities of H2O America. In addition, H2O America paid cash dividends on its common stock of $15.9 million during the three months ended March 31,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2025, the dividends declared and paid on H2O America’s common stock represented approximately 57% of net income. Dividends have been paid on H2O America’s and its predecessor’s common stock for 330 consecutive quarters and the annual dividend amount has increased in each of the last 58 years. While historically H2O America has generally paid dividends equal to approximately 50% to 60% of its net income, H2O America cannot guarantee that this trend will continue in the future.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summary of our operating, investing and financing cash flows for the three months ended March 31, 2026 and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7762667f04184357860c74f0caa90717_7">
        <w:r>
          <w:rPr>
            <w:rStyle w:val="InternetLink"/>
            <w:rFonts w:ascii="Times New Roman;serif" w:hAnsi="Times New Roman;serif"/>
            <w:b w:val="false"/>
            <w:color w:val="0000FF"/>
            <w:sz w:val="20"/>
            <w:u w:val="single"/>
          </w:rPr>
          <w:t>Table of Contents</w:t>
        </w:r>
      </w:hyperlink>
    </w:p>
    <w:tbl>
      <w:tblPr>
        <w:tblW w:w="8864" w:type="dxa"/>
        <w:jc w:val="left"/>
        <w:tblInd w:w="0" w:type="dxa"/>
        <w:tblLayout w:type="fixed"/>
        <w:tblCellMar>
          <w:top w:w="28" w:type="dxa"/>
          <w:left w:w="28" w:type="dxa"/>
          <w:bottom w:w="28" w:type="dxa"/>
          <w:right w:w="28" w:type="dxa"/>
        </w:tblCellMar>
      </w:tblPr>
      <w:tblGrid>
        <w:gridCol w:w="1570"/>
        <w:gridCol w:w="1377"/>
        <w:gridCol w:w="1388"/>
        <w:gridCol w:w="295"/>
        <w:gridCol w:w="1156"/>
        <w:gridCol w:w="152"/>
        <w:gridCol w:w="152"/>
        <w:gridCol w:w="152"/>
        <w:gridCol w:w="152"/>
        <w:gridCol w:w="396"/>
        <w:gridCol w:w="399"/>
        <w:gridCol w:w="156"/>
        <w:gridCol w:w="109"/>
        <w:gridCol w:w="109"/>
        <w:gridCol w:w="109"/>
        <w:gridCol w:w="412"/>
        <w:gridCol w:w="414"/>
        <w:gridCol w:w="366"/>
      </w:tblGrid>
      <w:tr>
        <w:trPr/>
        <w:tc>
          <w:tcPr>
            <w:tcW w:w="1570"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w:t>
              <w:br/>
              <w:t>(decrease)</w:t>
            </w:r>
          </w:p>
        </w:tc>
      </w:tr>
      <w:tr>
        <w:trPr/>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9"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w:t>
            </w:r>
          </w:p>
        </w:tc>
        <w:tc>
          <w:tcPr>
            <w:tcW w:w="1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43,706 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(92,932)</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(84,759)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(8,173)</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181,548 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127,388 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14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132,322 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119,740 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 beginning of the period</w:t>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 end of the period</w:t>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153,008 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23,696 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Cash Flow from Operating Activities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three months ended March 31, 2026, H2O America generated cash flow from operations of $43.7 million compared to $43.2 million during three months ended March 31, 2025. Cash flow from operations are primarily generated by net income from revenue producing activities, adjusted for non-cash expenses for depreciation and amortization, deferred income taxes, share-based compensation, allowance for equity funds used during construction, gains on the sale of assets, and other changes in working capital items.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 three months ended March 31, 2026, the increase in cash flows from operations was primarily attributable to higher net income, changes in working capital balances, and changes in regulatory assets and liabilities.</w:t>
      </w:r>
    </w:p>
    <w:p>
      <w:pPr>
        <w:pStyle w:val="TextBody"/>
        <w:bidi w:val="0"/>
        <w:spacing w:lineRule="auto" w:line="288" w:before="120" w:after="283"/>
        <w:ind w:left="0" w:right="0" w:firstLine="495"/>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Cash Flow from Investing Activities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 consist of cash payments and cash receipts for capital expenditures and investments. Net cash used in investing activities for the three months ended March 31, 2026, increased by $8.2 million from the same period in the prior year related to company-funded utility capital expenditures of $4.7 million and developer-funded capital expenditures of $3.5 million.</w:t>
      </w:r>
    </w:p>
    <w:p>
      <w:pPr>
        <w:pStyle w:val="TextBody"/>
        <w:bidi w:val="0"/>
        <w:spacing w:lineRule="auto" w:line="288" w:before="120" w:after="283"/>
        <w:ind w:left="0" w:right="0" w:firstLine="495"/>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Cash Flow from Financing Activities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flows from financing activities consist of cash payments to and cash receipts from creditors, investors, and developers. Net cash provided by financing activities for the three months ended March 31, 2026 increased by $127.4 million from the same period in the prior year, primarily as a result of (1) an increase in net proceeds from common stock equity offerings of $262.1 million, (2) an increase in cash receipts of advances and contributions in aid of construction of $2.5 million, offset by (3) an increase in net repayments on the lines of credit of $120.3 million, (4) an increase in net repayments on long-term borrowings of $15.2 million and (5) an increase in payments of dividends of $1.8 million. </w:t>
      </w:r>
    </w:p>
    <w:p>
      <w:pPr>
        <w:pStyle w:val="TextBody"/>
        <w:bidi w:val="0"/>
        <w:spacing w:lineRule="auto" w:line="288" w:before="160" w:after="283"/>
        <w:ind w:left="0" w:right="0" w:firstLine="630"/>
        <w:jc w:val="left"/>
        <w:rPr>
          <w:rFonts w:ascii="Times New Roman;serif" w:hAnsi="Times New Roman;serif"/>
          <w:b/>
          <w:color w:val="000000"/>
          <w:sz w:val="20"/>
        </w:rPr>
      </w:pPr>
      <w:bookmarkStart w:id="0" w:name="i0a0402b8bf0f4daf9aefea6f4e91cf64_4596"/>
      <w:bookmarkEnd w:id="0"/>
      <w:r>
        <w:rPr>
          <w:rFonts w:ascii="Times New Roman;serif" w:hAnsi="Times New Roman;serif"/>
          <w:b/>
          <w:color w:val="000000"/>
          <w:sz w:val="20"/>
        </w:rPr>
        <w:t>Budgeted Capital Expenditures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Water Utility Services’ estimated utility capital expenditures for 2026, exclusive of capital expenditures financed by customer contributions and advances, are anticipated to be approximately $458.0 million. The budgeted capital expenditures exclude capitalizable costs of $25.0 million forecasted in 2026 that are associated with cloud-based computing arrangements. As of March 31, 2026, $82.1 million, or approximately 18%, of the $458.0 million has been invested.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Water Utility Services’ capital expenditures are incurred in connection with normal upgrading and expansion of existing facilities and to comply with environmental regulations. Over the next five years, Water Utility Services expects to incur approximately $2,568.0 million in capital expenditures, which includes replacement of pipes and mains, maintaining water systems, and installing approximately $400.0 million in PFAS treatment facilities. A significant portion of this amount is subject to future respective state regulatory utility commissions’ approval. Capital expenditures have the effect of increasing utility plant rate base on which Water Utility Services earns a return. Water Utility Services’ actual capital expenditures may vary from their projections due to changes in the expected demand for services, weather patterns, actions by governmental agencies, and general economic conditions. Total additions to utility plant normally exceed company-financed additions as a result of new facilities construction funded with advances from developers and contributions in aid of construction.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Water Utility Services’ distribution systems were constructed during the period from the early 1900’s through today. Expenditure levels for renewal and modernization will occur as the components reach the end of their useful lives. In most cases, replacement costs will significantly exceed the original installation costs of the retired assets due to increases in the costs of goods and services and increased regulation.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7762667f04184357860c74f0caa907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addition to these capital expenditures, Water Utility Services expects to incur approximately $100.0 million over the next five years, including $25.0 million in 2026, in capitalizable costs associated with cloud-based computing arrangements. For the three months ended March 31, 2026, Water Utility Services incurred $3.1 million in cloud-based computing expenses.</w:t>
      </w:r>
    </w:p>
    <w:p>
      <w:pPr>
        <w:pStyle w:val="TextBody"/>
        <w:bidi w:val="0"/>
        <w:spacing w:before="120" w:after="283"/>
        <w:ind w:left="0" w:right="0" w:firstLine="63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Sources of Capital:</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H2O America’s ability to finance future construction programs and sustain dividend payments depends on its ability to maintain or increase internally generated funds and attract external financing. The level of future earnings and the related cash flow from operations is dependent, in large part, upon the timing and outcome of regulatory proceedings.</w:t>
      </w:r>
    </w:p>
    <w:p>
      <w:pPr>
        <w:pStyle w:val="TextBody"/>
        <w:bidi w:val="0"/>
        <w:spacing w:lineRule="auto" w:line="288" w:before="120" w:after="283"/>
        <w:ind w:left="0" w:right="0" w:firstLine="495"/>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Short-term Financing Agreements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H2O America and its subsidiaries have unsecured line of credit agreements where borrowings are used to refinance existing debt, for working capital, and for general corporate purposes. </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A summary of the line of credit agreements as of March 31, 2026 are as follows:</w:t>
      </w:r>
    </w:p>
    <w:tbl>
      <w:tblPr>
        <w:tblW w:w="9782" w:type="dxa"/>
        <w:jc w:val="left"/>
        <w:tblInd w:w="0" w:type="dxa"/>
        <w:tblLayout w:type="fixed"/>
        <w:tblCellMar>
          <w:top w:w="28" w:type="dxa"/>
          <w:left w:w="28" w:type="dxa"/>
          <w:bottom w:w="28" w:type="dxa"/>
          <w:right w:w="28" w:type="dxa"/>
        </w:tblCellMar>
      </w:tblPr>
      <w:tblGrid>
        <w:gridCol w:w="1042"/>
        <w:gridCol w:w="917"/>
        <w:gridCol w:w="920"/>
        <w:gridCol w:w="574"/>
        <w:gridCol w:w="574"/>
        <w:gridCol w:w="577"/>
        <w:gridCol w:w="109"/>
        <w:gridCol w:w="109"/>
        <w:gridCol w:w="109"/>
        <w:gridCol w:w="211"/>
        <w:gridCol w:w="826"/>
        <w:gridCol w:w="109"/>
        <w:gridCol w:w="109"/>
        <w:gridCol w:w="109"/>
        <w:gridCol w:w="109"/>
        <w:gridCol w:w="564"/>
        <w:gridCol w:w="564"/>
        <w:gridCol w:w="566"/>
        <w:gridCol w:w="109"/>
        <w:gridCol w:w="109"/>
        <w:gridCol w:w="109"/>
        <w:gridCol w:w="426"/>
        <w:gridCol w:w="400"/>
        <w:gridCol w:w="531"/>
      </w:tblGrid>
      <w:tr>
        <w:trPr/>
        <w:tc>
          <w:tcPr>
            <w:tcW w:w="1042"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Line Limit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Unused Portion</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1"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Syndicated credit agreement:</w:t>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12,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H2O America</w:t>
            </w:r>
          </w:p>
        </w:tc>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SJWC</w:t>
            </w:r>
          </w:p>
        </w:tc>
        <w:tc>
          <w:tcPr>
            <w:tcW w:w="1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165,000 </w:t>
            </w:r>
          </w:p>
        </w:tc>
        <w:tc>
          <w:tcPr>
            <w:tcW w:w="5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CTWS</w:t>
            </w:r>
          </w:p>
        </w:tc>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CWC</w:t>
            </w:r>
          </w:p>
        </w:tc>
        <w:tc>
          <w:tcPr>
            <w:tcW w:w="1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80,000 </w:t>
            </w:r>
          </w:p>
        </w:tc>
        <w:tc>
          <w:tcPr>
            <w:tcW w:w="5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MWC</w:t>
            </w:r>
          </w:p>
        </w:tc>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SJWTX</w:t>
            </w:r>
          </w:p>
        </w:tc>
        <w:tc>
          <w:tcPr>
            <w:tcW w:w="1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30,000 </w:t>
            </w:r>
          </w:p>
        </w:tc>
        <w:tc>
          <w:tcPr>
            <w:tcW w:w="5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syndicated credit agreement</w:t>
            </w:r>
          </w:p>
        </w:tc>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350,000 </w:t>
            </w:r>
          </w:p>
        </w:tc>
        <w:tc>
          <w:tcPr>
            <w:tcW w:w="5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SJWC credit agreement</w:t>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11,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5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CTWS credit agreement</w:t>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9,995 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369,995 </w:t>
            </w:r>
          </w:p>
        </w:tc>
        <w:tc>
          <w:tcPr>
            <w:tcW w:w="5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Total outstanding borrowings under the unsecured lines of credit as of March 31, 2026 were less than $0.1 million. For the three months ended March 31, 2026, the cost of borrowing on the lines of credit averaged 4.61% compared to 5.47% in the same period in 2025. As of March 31, 2026, the unused portion of the lines of credit available for future borrowings was $370.0 million.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All of H2O America’s and subsidiaries’ lines of credit contain customary representations, warranties and events of default, as well as certain restrictive covenants customary for facilities of this type, including restrictions on indebtedness, liens, acquisitions and investments, restricted payments, asset sales, and fundamental changes. All of the lines of credit also include certain customary financial covenants such as a funded debt to capitalization ratio and a minimum interest coverage ratio. As of March 31, 2026, H2O America and its subsidiaries were in compliance with all covenants on their lines of credit.</w:t>
      </w:r>
    </w:p>
    <w:p>
      <w:pPr>
        <w:pStyle w:val="TextBody"/>
        <w:bidi w:val="0"/>
        <w:spacing w:lineRule="auto" w:line="288" w:before="120" w:after="283"/>
        <w:ind w:left="0" w:right="0" w:firstLine="495"/>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Long-term Financing Agreements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balance of long-term debt outstanding, net of unamortized debt issuance costs and debt premium and discount, as of March 31, 2026 was $1,865.5 million. The current portion of long-term debt as of March 31, 2026 was $8.6 million. During the three months ended March 31, 2026, H2O America repaid $15.0 million of outstanding principal relating to its Senior D Notes, which matured in January 2026, and anticipates making principal payments of approximately $7.7 million for the remainder of the fiscal year.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debt and credit agreements of H2O America and its subsidiaries contain various financial and other covenants. Non-compliance with these covenants could result in accelerated due dates and termination of the agreements. In addition, the debit and credit agreements contain customary representations and warranties and are subject to customary events of default, which may result in outstanding debt becoming immediately due and payable. As of March 31, 2026, H2O America and its subsidiaries were in compliance with all covenants related to their debt and credit agreements.</w:t>
      </w:r>
    </w:p>
    <w:p>
      <w:pPr>
        <w:pStyle w:val="TextBody"/>
        <w:bidi w:val="0"/>
        <w:spacing w:lineRule="auto" w:line="288" w:before="120" w:after="283"/>
        <w:ind w:left="0" w:right="0" w:firstLine="495"/>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Equity Financing Arrangements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October 2024, H2O America entered into an equity distribution agreement (the “Equity Distribution Agreement”) with BofA Securities, Inc., J.P. Morgan Securities LLC, RBC Capital Markets, LLC and Wells Fargo Securities, LLC, pursuant to which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7762667f04184357860c74f0caa907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may offer and sell shares of its common stock, $0.001 par value per share, from time to time in “at-the-market” offerings, having an aggregate gross sales price of up to $200.0 million. The Equity Distribution Agreement replaced the previous agreement that ended in 2024. For the three months ended March 31, 2026, H2O America did not issue or sell any shares of its common stock under the Equity Distribution Agreement and, accordingly, received no net proceeds therefrom. Since the inception of the Equity Distribution Agreement, H2O America has issued and sold 2,763,359 shares of common stock at a weighted average price of $52.39 for total net proceeds of $143.0 million, and has $55.2 million of aggregate gross sales price of shares remaining to issue under the Equity Distribution Agreement as of March 31, 2026.</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March 2026, H2O America issued 3,937,654 shares of common stock in an underwritten offering pursuant to an Underwriting Agreement with J.P. Morgan Securities LLC and Wells Fargo Securities LLC, as representatives of several underwriters named in the Underwriting Agreement (the “Offering”). In connection with the Offering, H2O America entered into two-year forward purchase agreements (“FPA”) to issue 7,547,170 shares of common stock with an initial forward purchase price of $51.28 per share, subject to adjustment based on the overnight bank funding rate and expected dividend amounts due upon settlement through maturity in March 2028. The FPA can be settled or net settled for delivery of physical shares or settled for cash at the option of H2O America. In addition, the underwriters in the Offering, through the exercise of a 30-day overallotment option, purchased an additional 1,722,723 shares of common stock at a price of $51.28 per share. Total net proceeds to H2O America for the common stock offering were $290.2 million after deducting the underwriting discounts and before estimated offering expenses payable by H2O America of $1.6 million, which are recognized as a reduction of additional paid-in capital.</w:t>
      </w:r>
    </w:p>
    <w:p>
      <w:pPr>
        <w:pStyle w:val="TextBody"/>
        <w:bidi w:val="0"/>
        <w:spacing w:lineRule="auto" w:line="288" w:before="120" w:after="283"/>
        <w:ind w:left="0" w:right="0" w:firstLine="495"/>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Credit Rating</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condition of the capital and credit markets or the strength of financial institutions could impact H2O America’s ability to draw on its lines of credit, issue long-term debt, sell its equity or earn interest income. In addition, government policies, the state of the credit markets and other factors could result in increased interest rates, which would increase H2O America’s cost of capital. While our ability to obtain financing will continue to be a risk, we believe that based on our 2026 and 2025 activities we will continue to have access to the external funding sources necessary to implement our ongoing capital investment programs in the future. On July 15, 2025, Standard &amp; Poor’s Ratings Services revised the outlook for H2O America, CTWS and CWC from stable to negative following the announcement of the Quadvest acquisition.</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presents the current Standard &amp; Poor’s Ratings Services assigned company ratings:</w:t>
      </w:r>
    </w:p>
    <w:tbl>
      <w:tblPr>
        <w:tblW w:w="3355" w:type="dxa"/>
        <w:jc w:val="left"/>
        <w:tblInd w:w="0" w:type="dxa"/>
        <w:tblLayout w:type="fixed"/>
        <w:tblCellMar>
          <w:top w:w="28" w:type="dxa"/>
          <w:left w:w="28" w:type="dxa"/>
          <w:bottom w:w="28" w:type="dxa"/>
          <w:right w:w="28" w:type="dxa"/>
        </w:tblCellMar>
      </w:tblPr>
      <w:tblGrid>
        <w:gridCol w:w="439"/>
        <w:gridCol w:w="384"/>
        <w:gridCol w:w="391"/>
        <w:gridCol w:w="109"/>
        <w:gridCol w:w="109"/>
        <w:gridCol w:w="109"/>
        <w:gridCol w:w="200"/>
        <w:gridCol w:w="200"/>
        <w:gridCol w:w="201"/>
        <w:gridCol w:w="109"/>
        <w:gridCol w:w="109"/>
        <w:gridCol w:w="109"/>
        <w:gridCol w:w="259"/>
        <w:gridCol w:w="259"/>
        <w:gridCol w:w="368"/>
      </w:tblGrid>
      <w:tr>
        <w:trPr/>
        <w:tc>
          <w:tcPr>
            <w:tcW w:w="43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Entity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Rating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Outlook</w:t>
            </w:r>
          </w:p>
        </w:tc>
      </w:tr>
      <w:tr>
        <w:trPr/>
        <w:tc>
          <w:tcPr>
            <w:tcW w:w="12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H2O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Negative</w:t>
            </w:r>
          </w:p>
        </w:tc>
      </w:tr>
      <w:tr>
        <w:trPr/>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SJWC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Stable</w:t>
            </w:r>
          </w:p>
        </w:tc>
      </w:tr>
      <w:tr>
        <w:trPr/>
        <w:tc>
          <w:tcPr>
            <w:tcW w:w="1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CTWS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Negative</w:t>
            </w:r>
          </w:p>
        </w:tc>
      </w:tr>
      <w:tr>
        <w:trPr/>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CWC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Negative</w:t>
            </w:r>
          </w:p>
        </w:tc>
      </w:tr>
    </w:tbl>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3.QUANTITATIVE AND QUALITATIVE DISCLOSURES ABOUT MARKET RISK</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H2O America is subject to market risks in the normal course of business, including changes in interest rates, pension plan asset values, and equity prices. The exposure to changes in interest rates can result from the issuance of debt and short-term funds obtained through the Company’s variable rate lines of credit. H2O America’s subsidiaries sponsor noncontributory pension and other post-retirement plans for its employees. Pension and other post-retirement costs and the funded status of the plans may be affected by a number of factors including the discount rate, mortality rates of plan participants, investment returns on plan assets, and pension reform legislation.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H2O America has no derivative financial instruments, financial instruments with significant off-balance sheet risks, or financial instruments with concentrations of credit risk. </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4.CONTROLS AND PROCEDURES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H2O America’s management, with the participation of its Chief Executive Officer and Chief Financial Officer, evaluated the effectiveness of H2O America’s disclosure controls and procedures (as defined in Rules 13a-15(e) and 15d-15(e) under the Securities Exchange Act of 1934, as amended, the “Exchange Act”), as of the end of the period covered by this report. Based on that evaluation, the Chief Executive Officer and Chief Financial Officer concluded that H2O America’s disclosure controls and procedures as of the end of the period covered by this report have been designed and are functioning effectively to provide reasonable assurance that the information required to be disclosed by H2O America in the reports that it files or submits under the Exchange Act is recorded, processed, summarized, and reported within the time periods specified in the SEC’s rules and forms, and that such information is accumulated and communicated to management, including our Chief Executive Officer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7762667f04184357860c74f0caa907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or persons performing similar functions, as appropriate to allow timely decisions regarding required disclosure. H2O America believes that 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There has been no change in internal control over financial reporting during the first fiscal quarter of 2026 that has materially affected, or is reasonably likely to materially affect, the internal controls over financial reporting of H2O America.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7762667f04184357860c74f0caa907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OTHER INFORMATION</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1.LEGAL PROCEEDINGS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H2O America is subject to ordinary routine litigation incidental to its business.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October 2023, CWC, a subsidiary of H2O America, was named as a defendant in a putative class action lawsuit alleging that the water provided by CWC contained contaminants. The case is currently pending in the State of Connecticut Superior Court. CWC is vigorously defending itself in this lawsuit.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SJWC and CWC are plaintiffs in a lawsuit against manufacturers of certain PFAS compounds for damages, contribution and reimbursement of costs incurred and continuing to be incurred to address the presence of such PFAS compounds in public water supply systems owned and operated by these utility subsidiaries and throughout their respective service areas. The lawsuit is part of an Multi-District Litigation (“MDL”), that commenced on December 7, 2018 in the United States District Court for the District of South Carolina. MWC has submitted timely claims as a settlement class member.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February 8, 2024, the MDL court approved settlements involving defendants The Chemours Company, Corteva, Inc., and DuPont de Nemours, Inc. to resolve claims brought in the MDL against them by public water systems, including SJWC and CWC. On March 29, 2024, the MDL court approved a similar settlement involving defendant 3M Company. On November 22, 2024, the MDL court approved settlements involving defendants Tyco Fire Products LP, and BASF Corporation. H2O America is entitled to a portion of the settlements and is monitoring and evaluating the ongoing litigation and settlement activity with the PFAS manufacturers for potential impacts to the various claims that these utility subsidiaries have asserted.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the Company did not receive any cash proceeds, in connection with legal settlements referred to above related to PFAS contamination. As of March 31, 2026, the Company has received aggregate cash proceeds of $25.1 million from MDL court approved settlements. The proceeds were allocated as follows: SJWC received $17 million; CWC received $7.6 million; and MWC received $0.5 million, which includes $0.3 million payable to contract operators. The proceeds are compensatory in nature and are intended to compensate the Company for costs incurred or to be incurred, to address the presence of PFAS compounds in public water supply systems or to be refunded to customers through rate reductions, and have been recorded as a regulatory liability subject to regulatory approval.</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H2O America is entitled to receive additional cash proceeds from 3M Company in the subsequent eight years, pursuant to the terms of the settlement agreement. In addition, the Company is party to class action settlements with Tyco Fire Products LP and BASF Corporation.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H2O America is monitoring and evaluating the ongoing litigation and settlement activity with the PFAS manufacturers for potential impacts to the various claims that these utility subsidiaries have asserted. </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1A.RISK FACTORS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addition to the other information set forth in this report, you should carefully consider the factors discussed in “Risk Factors” in H2O America’s Annual report on Form 10-K for the year ended December 31, 2025 and our other public filings, which could materially affect our business, financial condition or future results. Other than the risk factors listed and referenced below, there have been no material changes from risk factors previously disclosed in “Risk Factors” in H2O America’s Annual report on Form 10-K for the year ended December 31, 2025.</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March 2026, H2O America issued 3,937,654 shares of common stock, two-year forward agreements to issue 7,547,170 shares of common stock, and an overallotment option granted to the underwriters to purchase up to an additional 1,722,723 shares of common stock which was subsequently exercised (the “Offering”). Total net proceeds to H2O America for the Offering were $290.2 million after deducting the underwriting discounts and before estimated offering expenses payable by H2O America. The proceeds will be used to finance the acquisition of Quadvest L.P. and Quadvest Wholesale LLC as well as planned capital expenditures. Refer to Note 3 “Capitalization” for additional information.</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3.DEFAULTS UPON SENIOR SECURITIES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7762667f04184357860c74f0caa907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4.MINE SAFETY DISCLOSURES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5.OTHER INFORMATION</w:t>
      </w:r>
    </w:p>
    <w:p>
      <w:pPr>
        <w:pStyle w:val="TextBody"/>
        <w:bidi w:val="0"/>
        <w:spacing w:lineRule="auto" w:line="288" w:before="120" w:after="283"/>
        <w:ind w:left="0" w:right="0" w:firstLine="495"/>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Quarterly Dividend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April 27, 2026, the Board of Directors of H2O America declared the regular quarterly dividend of $0.44 per share of common stock. The dividend will be paid on June 1, 2026, to stockholders of record as of the close of business on May 11, 2026.</w:t>
      </w:r>
    </w:p>
    <w:p>
      <w:pPr>
        <w:pStyle w:val="TextBody"/>
        <w:bidi w:val="0"/>
        <w:spacing w:lineRule="auto" w:line="288" w:before="120" w:after="283"/>
        <w:ind w:left="0" w:right="0" w:firstLine="495"/>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Insider Trading Arrangements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the quarter ended March 31, 2026, none of our directors or officers (as defined in Rule 16a-1(f) of the Exchange Act) adopted or terminated a plan for the purchase or sale of our securities intended to satisfy the affirmative defense conditions of Rule 10b5-1(c) or a non-Rule 10b5-1 trading arrangement for the purchase or sale of our securities, within the meaning of Item 408 of Regulation S-K.</w:t>
      </w:r>
    </w:p>
    <w:p>
      <w:pPr>
        <w:pStyle w:val="TextBody"/>
        <w:bidi w:val="0"/>
        <w:spacing w:lineRule="auto" w:line="288" w:before="120" w:after="283"/>
        <w:ind w:left="0" w:right="0" w:firstLine="495"/>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Information Web Sites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H2O America posts information about the operating and financial performance of H2O America and its subsidiaries on its web sites at www.h2o-america.com, www.sjwater.com, www.ctwater.com, www.txwaterco.com, and www.mainewater.com from time to time. The information on our web sites is not a part of and should not be considered incorporated by reference into this Form 10-Q.</w:t>
      </w:r>
    </w:p>
    <w:p>
      <w:pPr>
        <w:pStyle w:val="TextBody"/>
        <w:bidi w:val="0"/>
        <w:spacing w:before="12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7762667f04184357860c74f0caa907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pPr>
      <w:r>
        <w:rPr>
          <w:rFonts w:ascii="Times New Roman;serif" w:hAnsi="Times New Roman;serif"/>
          <w:b/>
          <w:color w:val="000000"/>
          <w:sz w:val="20"/>
        </w:rPr>
        <w:t>ITEM 6.</w:t>
      </w:r>
      <w:r>
        <w:rPr>
          <w:rFonts w:ascii="Times New Roman;serif" w:hAnsi="Times New Roman;serif"/>
          <w:b/>
          <w:color w:val="000000"/>
          <w:sz w:val="20"/>
        </w:rPr>
        <w:t>EXHIBITS</w:t>
      </w:r>
    </w:p>
    <w:tbl>
      <w:tblPr>
        <w:tblW w:w="10205" w:type="dxa"/>
        <w:jc w:val="left"/>
        <w:tblInd w:w="0" w:type="dxa"/>
        <w:tblLayout w:type="fixed"/>
        <w:tblCellMar>
          <w:top w:w="28" w:type="dxa"/>
          <w:left w:w="28" w:type="dxa"/>
          <w:bottom w:w="28" w:type="dxa"/>
          <w:right w:w="28" w:type="dxa"/>
        </w:tblCellMar>
      </w:tblPr>
      <w:tblGrid>
        <w:gridCol w:w="279"/>
        <w:gridCol w:w="246"/>
        <w:gridCol w:w="247"/>
        <w:gridCol w:w="109"/>
        <w:gridCol w:w="109"/>
        <w:gridCol w:w="109"/>
        <w:gridCol w:w="3050"/>
        <w:gridCol w:w="2935"/>
        <w:gridCol w:w="2964"/>
        <w:gridCol w:w="157"/>
      </w:tblGrid>
      <w:tr>
        <w:trPr/>
        <w:tc>
          <w:tcPr>
            <w:tcW w:w="27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2935" w:type="dxa"/>
            <w:tcBorders/>
            <w:vAlign w:val="center"/>
          </w:tcPr>
          <w:p>
            <w:pPr>
              <w:pStyle w:val="TableContents"/>
              <w:bidi w:val="0"/>
              <w:spacing w:before="0" w:after="283"/>
              <w:jc w:val="left"/>
              <w:rPr>
                <w:sz w:val="4"/>
                <w:szCs w:val="4"/>
              </w:rPr>
            </w:pPr>
            <w:r>
              <w:rPr>
                <w:sz w:val="4"/>
                <w:szCs w:val="4"/>
              </w:rPr>
            </w:r>
          </w:p>
        </w:tc>
        <w:tc>
          <w:tcPr>
            <w:tcW w:w="296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157" w:type="dxa"/>
            <w:tcBorders/>
            <w:vAlign w:val="center"/>
          </w:tcPr>
          <w:p>
            <w:pPr>
              <w:pStyle w:val="TableContents"/>
              <w:bidi w:val="0"/>
              <w:spacing w:before="0" w:after="283"/>
              <w:jc w:val="left"/>
              <w:rPr>
                <w:sz w:val="4"/>
                <w:szCs w:val="4"/>
              </w:rPr>
            </w:pPr>
            <w:r>
              <w:rPr>
                <w:sz w:val="4"/>
                <w:szCs w:val="4"/>
              </w:rPr>
            </w:r>
          </w:p>
        </w:tc>
      </w:tr>
      <w:tr>
        <w:trPr/>
        <w:tc>
          <w:tcPr>
            <w:tcW w:w="7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80"/>
                  <w:sz w:val="20"/>
                  <w:u w:val="single"/>
                </w:rPr>
                <w:t>Underwriting Agreement, dated March 2, 2026, by and among the Company, the Underwriters, the Forward Purchasers and the Forward Sellers.</w:t>
              </w:r>
            </w:hyperlink>
            <w:hyperlink r:id="rId3">
              <w:r>
                <w:rPr>
                  <w:rStyle w:val="InternetLink"/>
                  <w:rFonts w:ascii="Times New Roman;serif" w:hAnsi="Times New Roman;serif"/>
                  <w:b w:val="false"/>
                  <w:color w:val="000080"/>
                  <w:sz w:val="20"/>
                  <w:u w:val="single"/>
                </w:rPr>
                <w:t xml:space="preserve"> Incorporat</w:t>
              </w:r>
            </w:hyperlink>
            <w:hyperlink r:id="rId4">
              <w:r>
                <w:rPr>
                  <w:rStyle w:val="InternetLink"/>
                  <w:rFonts w:ascii="Times New Roman;serif" w:hAnsi="Times New Roman;serif"/>
                  <w:b w:val="false"/>
                  <w:color w:val="000080"/>
                  <w:sz w:val="20"/>
                  <w:u w:val="single"/>
                </w:rPr>
                <w:t>ed by reference to Exhibit 1</w:t>
              </w:r>
            </w:hyperlink>
            <w:hyperlink r:id="rId5">
              <w:r>
                <w:rPr>
                  <w:rStyle w:val="InternetLink"/>
                  <w:rFonts w:ascii="Times New Roman;serif" w:hAnsi="Times New Roman;serif"/>
                  <w:b w:val="false"/>
                  <w:color w:val="000080"/>
                  <w:sz w:val="20"/>
                  <w:u w:val="single"/>
                </w:rPr>
                <w:t xml:space="preserve">.1 to </w:t>
              </w:r>
            </w:hyperlink>
            <w:hyperlink r:id="rId6">
              <w:r>
                <w:rPr>
                  <w:rStyle w:val="InternetLink"/>
                  <w:rFonts w:ascii="Times New Roman;serif" w:hAnsi="Times New Roman;serif"/>
                  <w:b w:val="false"/>
                  <w:color w:val="000080"/>
                  <w:sz w:val="20"/>
                  <w:u w:val="single"/>
                </w:rPr>
                <w:t>Form 8-K filed on March 4, 2026.</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80"/>
                  <w:sz w:val="20"/>
                  <w:u w:val="single"/>
                </w:rPr>
                <w:t>Forward Sale Agreement, dated March 2, 2026, by and between the Company and JPMorgan Chase Bank, National Association, in its capacity as a Forward Purchaser.</w:t>
              </w:r>
            </w:hyperlink>
            <w:hyperlink r:id="rId8">
              <w:r>
                <w:rPr>
                  <w:rStyle w:val="InternetLink"/>
                  <w:rFonts w:ascii="Times New Roman;serif" w:hAnsi="Times New Roman;serif"/>
                  <w:b w:val="false"/>
                  <w:color w:val="000080"/>
                  <w:sz w:val="20"/>
                  <w:u w:val="single"/>
                </w:rPr>
                <w:t xml:space="preserve"> </w:t>
              </w:r>
            </w:hyperlink>
            <w:hyperlink r:id="rId9">
              <w:r>
                <w:rPr>
                  <w:rStyle w:val="InternetLink"/>
                  <w:rFonts w:ascii="Times New Roman;serif" w:hAnsi="Times New Roman;serif"/>
                  <w:b w:val="false"/>
                  <w:color w:val="000080"/>
                  <w:sz w:val="20"/>
                  <w:u w:val="single"/>
                </w:rPr>
                <w:t>Incorporated by reference to Exhibit 10.</w:t>
              </w:r>
            </w:hyperlink>
            <w:hyperlink r:id="rId10">
              <w:r>
                <w:rPr>
                  <w:rStyle w:val="InternetLink"/>
                  <w:rFonts w:ascii="Times New Roman;serif" w:hAnsi="Times New Roman;serif"/>
                  <w:b w:val="false"/>
                  <w:color w:val="000080"/>
                  <w:sz w:val="20"/>
                  <w:u w:val="single"/>
                </w:rPr>
                <w:t>1</w:t>
              </w:r>
            </w:hyperlink>
            <w:hyperlink r:id="rId11">
              <w:r>
                <w:rPr>
                  <w:rStyle w:val="InternetLink"/>
                  <w:rFonts w:ascii="Times New Roman;serif" w:hAnsi="Times New Roman;serif"/>
                  <w:b w:val="false"/>
                  <w:color w:val="000080"/>
                  <w:sz w:val="20"/>
                  <w:u w:val="single"/>
                </w:rPr>
                <w:t xml:space="preserve"> to Form 8-K filed on March 4, 2026.</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80"/>
                  <w:sz w:val="20"/>
                  <w:u w:val="single"/>
                </w:rPr>
                <w:t>Forward Sale Agreement, dated March 2, 2026, by and between the Company and Wells Fargo Bank, National Association, in its capacity as a Forward Purchaser.</w:t>
              </w:r>
            </w:hyperlink>
            <w:hyperlink r:id="rId13">
              <w:r>
                <w:rPr>
                  <w:rStyle w:val="InternetLink"/>
                  <w:rFonts w:ascii="Times New Roman;serif" w:hAnsi="Times New Roman;serif"/>
                  <w:b w:val="false"/>
                  <w:color w:val="000080"/>
                  <w:sz w:val="20"/>
                  <w:u w:val="single"/>
                </w:rPr>
                <w:t xml:space="preserve"> </w:t>
              </w:r>
            </w:hyperlink>
            <w:hyperlink r:id="rId14">
              <w:r>
                <w:rPr>
                  <w:rStyle w:val="InternetLink"/>
                  <w:rFonts w:ascii="Times New Roman;serif" w:hAnsi="Times New Roman;serif"/>
                  <w:b w:val="false"/>
                  <w:color w:val="000080"/>
                  <w:sz w:val="20"/>
                  <w:u w:val="single"/>
                </w:rPr>
                <w:t>Incorporated by reference to Exhibit 10.</w:t>
              </w:r>
            </w:hyperlink>
            <w:hyperlink r:id="rId15">
              <w:r>
                <w:rPr>
                  <w:rStyle w:val="InternetLink"/>
                  <w:rFonts w:ascii="Times New Roman;serif" w:hAnsi="Times New Roman;serif"/>
                  <w:b w:val="false"/>
                  <w:color w:val="000080"/>
                  <w:sz w:val="20"/>
                  <w:u w:val="single"/>
                </w:rPr>
                <w:t>2</w:t>
              </w:r>
            </w:hyperlink>
            <w:hyperlink r:id="rId16">
              <w:r>
                <w:rPr>
                  <w:rStyle w:val="InternetLink"/>
                  <w:rFonts w:ascii="Times New Roman;serif" w:hAnsi="Times New Roman;serif"/>
                  <w:b w:val="false"/>
                  <w:color w:val="000080"/>
                  <w:sz w:val="20"/>
                  <w:u w:val="single"/>
                </w:rPr>
                <w:t xml:space="preserve"> to Form 8-K filed on March 4, 2026.</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2oamerica-33126xex311.htm">
              <w:r>
                <w:rPr>
                  <w:rStyle w:val="InternetLink"/>
                  <w:rFonts w:ascii="Times New Roman;serif" w:hAnsi="Times New Roman;serif"/>
                  <w:b w:val="false"/>
                  <w:color w:val="0000FF"/>
                  <w:sz w:val="20"/>
                  <w:u w:val="single"/>
                </w:rPr>
                <w:t>Certification Pursuant to Rule 13a-14(a)/15d-14(a) by Chief Executive Officer.</w:t>
              </w:r>
            </w:hyperlink>
            <w:r>
              <w:rPr>
                <w:color w:val="000000"/>
              </w:rPr>
              <w:t xml:space="preserve"> </w:t>
            </w:r>
            <w:r>
              <w:rPr>
                <w:rFonts w:ascii="Times New Roman;serif" w:hAnsi="Times New Roman;serif"/>
                <w:b w:val="false"/>
                <w:color w:val="000000"/>
                <w:sz w:val="20"/>
              </w:rPr>
              <w:t>(1)</w:t>
            </w:r>
          </w:p>
        </w:tc>
        <w:tc>
          <w:tcPr>
            <w:tcW w:w="157" w:type="dxa"/>
            <w:tcBorders/>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2oamerica-33126xex312.htm">
              <w:r>
                <w:rPr>
                  <w:rStyle w:val="InternetLink"/>
                  <w:rFonts w:ascii="Times New Roman;serif" w:hAnsi="Times New Roman;serif"/>
                  <w:b w:val="false"/>
                  <w:color w:val="0000FF"/>
                  <w:sz w:val="20"/>
                  <w:u w:val="single"/>
                </w:rPr>
                <w:t>Certification Pursuant to Rule 13a-14(a)/15d-14(a) by Chief Financial Officer and Treasurer.</w:t>
              </w:r>
            </w:hyperlink>
            <w:r>
              <w:rPr>
                <w:color w:val="000000"/>
              </w:rPr>
              <w:t xml:space="preserve"> </w:t>
            </w:r>
            <w:r>
              <w:rPr>
                <w:rFonts w:ascii="Times New Roman;serif" w:hAnsi="Times New Roman;serif"/>
                <w:b w:val="false"/>
                <w:color w:val="000000"/>
                <w:sz w:val="20"/>
              </w:rPr>
              <w:t>(1)</w:t>
            </w:r>
          </w:p>
        </w:tc>
        <w:tc>
          <w:tcPr>
            <w:tcW w:w="157" w:type="dxa"/>
            <w:tcBorders/>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2oamerica-33126xex321.htm">
              <w:r>
                <w:rPr>
                  <w:rStyle w:val="InternetLink"/>
                  <w:rFonts w:ascii="Times New Roman;serif" w:hAnsi="Times New Roman;serif"/>
                  <w:b w:val="false"/>
                  <w:color w:val="0000FF"/>
                  <w:sz w:val="20"/>
                  <w:u w:val="single"/>
                </w:rPr>
                <w:t>Certification Pursuant to 18 U.S.C. Section 1350 by Chief Executive Officer, as adopted pursuant to Section 906 of the Sarbanes-Oxley Act of 2002.</w:t>
              </w:r>
            </w:hyperlink>
            <w:r>
              <w:rPr>
                <w:color w:val="000000"/>
              </w:rPr>
              <w:t xml:space="preserve"> </w:t>
            </w:r>
            <w:r>
              <w:rPr>
                <w:rFonts w:ascii="Times New Roman;serif" w:hAnsi="Times New Roman;serif"/>
                <w:b w:val="false"/>
                <w:color w:val="000000"/>
                <w:sz w:val="20"/>
              </w:rPr>
              <w:t>(1)</w:t>
            </w:r>
          </w:p>
        </w:tc>
        <w:tc>
          <w:tcPr>
            <w:tcW w:w="157" w:type="dxa"/>
            <w:tcBorders/>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2oamerica-33126xex322.htm">
              <w:r>
                <w:rPr>
                  <w:rStyle w:val="InternetLink"/>
                  <w:rFonts w:ascii="Times New Roman;serif" w:hAnsi="Times New Roman;serif"/>
                  <w:b w:val="false"/>
                  <w:color w:val="0000FF"/>
                  <w:sz w:val="20"/>
                  <w:u w:val="single"/>
                </w:rPr>
                <w:t>Certification Pursuant to 18 U.S.C. Section 1350 by Chief Financial Officer and Treasurer as adopted pursuant to Section 906 of the Sarbanes-Oxley Act of 2002.</w:t>
              </w:r>
            </w:hyperlink>
            <w:r>
              <w:rPr>
                <w:color w:val="000000"/>
              </w:rPr>
              <w:t xml:space="preserve"> </w:t>
            </w:r>
            <w:r>
              <w:rPr>
                <w:rFonts w:ascii="Times New Roman;serif" w:hAnsi="Times New Roman;serif"/>
                <w:b w:val="false"/>
                <w:color w:val="000000"/>
                <w:sz w:val="20"/>
              </w:rPr>
              <w:t>(1)</w:t>
            </w:r>
          </w:p>
        </w:tc>
        <w:tc>
          <w:tcPr>
            <w:tcW w:w="157" w:type="dxa"/>
            <w:tcBorders/>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embedded within the inline XBRL document.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 Document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 Document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Label Linkbase Document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 Document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color w:val="000000"/>
        </w:rPr>
      </w:pPr>
      <w:r>
        <w:rPr>
          <w:color w:val="000000"/>
        </w:rPr>
        <w:t>  </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(1)Filed currently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7762667f04184357860c74f0caa907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120" w:after="283"/>
        <w:jc w:val="left"/>
        <w:rPr>
          <w:color w:val="000000"/>
        </w:rPr>
      </w:pPr>
      <w:r>
        <w:rPr>
          <w:color w:val="000000"/>
        </w:rPr>
        <w:t> </w:t>
      </w:r>
    </w:p>
    <w:tbl>
      <w:tblPr>
        <w:tblW w:w="5995" w:type="dxa"/>
        <w:jc w:val="left"/>
        <w:tblInd w:w="0" w:type="dxa"/>
        <w:tblLayout w:type="fixed"/>
        <w:tblCellMar>
          <w:top w:w="28" w:type="dxa"/>
          <w:left w:w="28" w:type="dxa"/>
          <w:bottom w:w="28" w:type="dxa"/>
          <w:right w:w="28" w:type="dxa"/>
        </w:tblCellMar>
      </w:tblPr>
      <w:tblGrid>
        <w:gridCol w:w="206"/>
        <w:gridCol w:w="181"/>
        <w:gridCol w:w="183"/>
        <w:gridCol w:w="439"/>
        <w:gridCol w:w="439"/>
        <w:gridCol w:w="441"/>
        <w:gridCol w:w="134"/>
        <w:gridCol w:w="134"/>
        <w:gridCol w:w="136"/>
        <w:gridCol w:w="109"/>
        <w:gridCol w:w="109"/>
        <w:gridCol w:w="109"/>
        <w:gridCol w:w="986"/>
        <w:gridCol w:w="986"/>
        <w:gridCol w:w="1403"/>
      </w:tblGrid>
      <w:tr>
        <w:trPr/>
        <w:tc>
          <w:tcPr>
            <w:tcW w:w="2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r>
      <w:tr>
        <w:trPr/>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H2O AMERICA</w:t>
            </w:r>
          </w:p>
        </w:tc>
      </w:tr>
      <w:tr>
        <w:trPr/>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Date:</w:t>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April 29,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/s/ ANN P. KELLY</w:t>
            </w:r>
          </w:p>
        </w:tc>
      </w:tr>
      <w:tr>
        <w:trPr/>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Ann P. Kelly</w:t>
            </w:r>
          </w:p>
        </w:tc>
      </w:tr>
      <w:tr>
        <w:trPr/>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Chief Financial Officer and Treasurer</w:t>
            </w:r>
          </w:p>
        </w:tc>
      </w:tr>
      <w:tr>
        <w:trPr/>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(Principal financial officer)</w:t>
            </w:r>
          </w:p>
        </w:tc>
      </w:tr>
    </w:tbl>
    <w:p>
      <w:pPr>
        <w:pStyle w:val="TextBody"/>
        <w:bidi w:val="0"/>
        <w:spacing w:before="12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 xml:space="preserve">Exhibit 31.1 </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CERTIFICATIONS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Andrew F. Walters, certify that: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1.I have reviewed this Quarterly Report on Form 10-Q of H2O America (the “registrant”);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 over financial reporting. </w:t>
      </w:r>
    </w:p>
    <w:p>
      <w:pPr>
        <w:pStyle w:val="TextBody"/>
        <w:bidi w:val="0"/>
        <w:spacing w:before="0" w:after="0"/>
        <w:jc w:val="left"/>
        <w:rPr/>
      </w:pPr>
      <w:r>
        <w:rPr/>
      </w:r>
    </w:p>
    <w:tbl>
      <w:tblPr>
        <w:tblW w:w="5804" w:type="dxa"/>
        <w:jc w:val="center"/>
        <w:tblInd w:w="0" w:type="dxa"/>
        <w:tblLayout w:type="fixed"/>
        <w:tblCellMar>
          <w:top w:w="28" w:type="dxa"/>
          <w:left w:w="28" w:type="dxa"/>
          <w:bottom w:w="28" w:type="dxa"/>
          <w:right w:w="28" w:type="dxa"/>
        </w:tblCellMar>
      </w:tblPr>
      <w:tblGrid>
        <w:gridCol w:w="200"/>
        <w:gridCol w:w="177"/>
        <w:gridCol w:w="178"/>
        <w:gridCol w:w="429"/>
        <w:gridCol w:w="429"/>
        <w:gridCol w:w="431"/>
        <w:gridCol w:w="1159"/>
        <w:gridCol w:w="1159"/>
        <w:gridCol w:w="164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29, 2026</w:t>
            </w:r>
          </w:p>
        </w:tc>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ANDREW F. WALTERS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Andrew F. Walters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Chair of the Board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 xml:space="preserve">Exhibit 31.2 </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CERTIFICATIONS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Ann P. Kelly, certify that: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1.I have reviewed this Quarterly Report on Form 10-Q of H2O America (the “registrant”);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 over financial reporting. </w:t>
      </w:r>
    </w:p>
    <w:p>
      <w:pPr>
        <w:pStyle w:val="TextBody"/>
        <w:bidi w:val="0"/>
        <w:spacing w:lineRule="auto" w:line="288" w:before="0" w:after="0"/>
        <w:jc w:val="left"/>
        <w:rPr>
          <w:color w:val="000000"/>
        </w:rPr>
      </w:pPr>
      <w:r>
        <w:rPr>
          <w:color w:val="000000"/>
        </w:rPr>
        <w:t> </w:t>
      </w:r>
    </w:p>
    <w:tbl>
      <w:tblPr>
        <w:tblW w:w="4993" w:type="dxa"/>
        <w:jc w:val="center"/>
        <w:tblInd w:w="0" w:type="dxa"/>
        <w:tblLayout w:type="fixed"/>
        <w:tblCellMar>
          <w:top w:w="28" w:type="dxa"/>
          <w:left w:w="28" w:type="dxa"/>
          <w:bottom w:w="28" w:type="dxa"/>
          <w:right w:w="28" w:type="dxa"/>
        </w:tblCellMar>
      </w:tblPr>
      <w:tblGrid>
        <w:gridCol w:w="200"/>
        <w:gridCol w:w="177"/>
        <w:gridCol w:w="178"/>
        <w:gridCol w:w="429"/>
        <w:gridCol w:w="429"/>
        <w:gridCol w:w="431"/>
        <w:gridCol w:w="919"/>
        <w:gridCol w:w="919"/>
        <w:gridCol w:w="131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29, 2026</w:t>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ANN P. KELLY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 P. Kelly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 xml:space="preserve">Exhibit 32.1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18 U.S.C. SECTION 1350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SECTION 906 OF THE SARBANES-OXLEY ACT OF 2002 </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Quarterly Report of H2O America (the “Company”) on Form 10-Q for the quarter ended March 31, 2026, as filed with the Securities and Exchange Commission on the date hereof (the “Report”), I, Andrew F. Walters, Chief Executive Officer, certify, pursuant to 18 U.S.C. Section 1350, as adopted pursuant to Section 906 of the Sarbanes-Oxley Act of 2002, that to my knowledge on the date hereof: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(2)the information contained in the Report fairly presents, in all material respects, the financial condition and results of operations of the Company. </w:t>
      </w:r>
    </w:p>
    <w:p>
      <w:pPr>
        <w:pStyle w:val="TextBody"/>
        <w:bidi w:val="0"/>
        <w:spacing w:lineRule="auto" w:line="288" w:before="0" w:after="0"/>
        <w:jc w:val="left"/>
        <w:rPr>
          <w:color w:val="000000"/>
        </w:rPr>
      </w:pPr>
      <w:r>
        <w:rPr>
          <w:color w:val="000000"/>
        </w:rPr>
        <w:t> </w:t>
      </w:r>
    </w:p>
    <w:tbl>
      <w:tblPr>
        <w:tblW w:w="4301" w:type="dxa"/>
        <w:jc w:val="center"/>
        <w:tblInd w:w="0" w:type="dxa"/>
        <w:tblLayout w:type="fixed"/>
        <w:tblCellMar>
          <w:top w:w="28" w:type="dxa"/>
          <w:left w:w="28" w:type="dxa"/>
          <w:bottom w:w="28" w:type="dxa"/>
          <w:right w:w="28" w:type="dxa"/>
        </w:tblCellMar>
      </w:tblPr>
      <w:tblGrid>
        <w:gridCol w:w="1422"/>
        <w:gridCol w:w="1252"/>
        <w:gridCol w:w="1255"/>
        <w:gridCol w:w="109"/>
        <w:gridCol w:w="109"/>
        <w:gridCol w:w="154"/>
      </w:tblGrid>
      <w:tr>
        <w:trPr/>
        <w:tc>
          <w:tcPr>
            <w:tcW w:w="1422"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ANDREW F. WALTERS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Andrew F. Walters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Chair of the Board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29,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 xml:space="preserve">Exhibit 32.2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18 U.S.C. SECTION 1350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SECTION 906 OF THE SARBANES-OXLEY ACT OF 2002 </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Quarterly Report of H2O America (the “Company”) on Form 10-Q for the quarter ended March 31, 2026, as filed with the Securities and Exchange Commission on the date hereof (the “Report”), I, Ann P. Kelly, Chief Financial Officer and Treasurer of the Company, certify, pursuant to 18 U.S.C. Section 1350, as adopted pursuant to Section 906 of the Sarbanes-Oxley Act of 2002, that to my knowledge on the date hereof: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(2)the information contained in the Report fairly presents, in all material respects, the financial condition and results of operations of the Company. </w:t>
      </w:r>
    </w:p>
    <w:p>
      <w:pPr>
        <w:pStyle w:val="TextBody"/>
        <w:bidi w:val="0"/>
        <w:spacing w:lineRule="auto" w:line="288" w:before="0" w:after="0"/>
        <w:jc w:val="left"/>
        <w:rPr>
          <w:color w:val="000000"/>
        </w:rPr>
      </w:pPr>
      <w:r>
        <w:rPr>
          <w:color w:val="000000"/>
        </w:rPr>
        <w:t> </w:t>
      </w:r>
    </w:p>
    <w:tbl>
      <w:tblPr>
        <w:tblW w:w="3492" w:type="dxa"/>
        <w:jc w:val="center"/>
        <w:tblInd w:w="0" w:type="dxa"/>
        <w:tblLayout w:type="fixed"/>
        <w:tblCellMar>
          <w:top w:w="28" w:type="dxa"/>
          <w:left w:w="28" w:type="dxa"/>
          <w:bottom w:w="28" w:type="dxa"/>
          <w:right w:w="28" w:type="dxa"/>
        </w:tblCellMar>
      </w:tblPr>
      <w:tblGrid>
        <w:gridCol w:w="1130"/>
        <w:gridCol w:w="993"/>
        <w:gridCol w:w="997"/>
        <w:gridCol w:w="109"/>
        <w:gridCol w:w="109"/>
        <w:gridCol w:w="154"/>
      </w:tblGrid>
      <w:tr>
        <w:trPr/>
        <w:tc>
          <w:tcPr>
            <w:tcW w:w="113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ANN P. KELLY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 P. Kelly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29,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766829/000110465926023470/tm267546d3_ex1-1.htm" TargetMode="External"/><Relationship Id="rId3" Type="http://schemas.openxmlformats.org/officeDocument/2006/relationships/hyperlink" Target="https://www.sec.gov/Archives/edgar/data/766829/000110465926023470/tm267546d3_ex1-1.htm" TargetMode="External"/><Relationship Id="rId4" Type="http://schemas.openxmlformats.org/officeDocument/2006/relationships/hyperlink" Target="https://www.sec.gov/Archives/edgar/data/766829/000110465926023470/tm267546d3_ex1-1.htm" TargetMode="External"/><Relationship Id="rId5" Type="http://schemas.openxmlformats.org/officeDocument/2006/relationships/hyperlink" Target="https://www.sec.gov/Archives/edgar/data/766829/000110465926023470/tm267546d3_ex1-1.htm" TargetMode="External"/><Relationship Id="rId6" Type="http://schemas.openxmlformats.org/officeDocument/2006/relationships/hyperlink" Target="https://www.sec.gov/Archives/edgar/data/766829/000110465926023470/tm267546d3_ex1-1.htm" TargetMode="External"/><Relationship Id="rId7" Type="http://schemas.openxmlformats.org/officeDocument/2006/relationships/hyperlink" Target="https://www.sec.gov/Archives/edgar/data/766829/000110465926023470/tm267546d3_ex10-1.htm" TargetMode="External"/><Relationship Id="rId8" Type="http://schemas.openxmlformats.org/officeDocument/2006/relationships/hyperlink" Target="https://www.sec.gov/Archives/edgar/data/766829/000110465926023470/tm267546d3_ex10-1.htm" TargetMode="External"/><Relationship Id="rId9" Type="http://schemas.openxmlformats.org/officeDocument/2006/relationships/hyperlink" Target="https://www.sec.gov/Archives/edgar/data/766829/000110465926023470/tm267546d3_ex10-1.htm" TargetMode="External"/><Relationship Id="rId10" Type="http://schemas.openxmlformats.org/officeDocument/2006/relationships/hyperlink" Target="https://www.sec.gov/Archives/edgar/data/766829/000110465926023470/tm267546d3_ex10-1.htm" TargetMode="External"/><Relationship Id="rId11" Type="http://schemas.openxmlformats.org/officeDocument/2006/relationships/hyperlink" Target="https://www.sec.gov/Archives/edgar/data/766829/000110465926023470/tm267546d3_ex10-1.htm" TargetMode="External"/><Relationship Id="rId12" Type="http://schemas.openxmlformats.org/officeDocument/2006/relationships/hyperlink" Target="https://www.sec.gov/Archives/edgar/data/766829/000110465926023470/tm267546d3_ex10-2.htm" TargetMode="External"/><Relationship Id="rId13" Type="http://schemas.openxmlformats.org/officeDocument/2006/relationships/hyperlink" Target="https://www.sec.gov/Archives/edgar/data/766829/000110465926023470/tm267546d3_ex10-2.htm" TargetMode="External"/><Relationship Id="rId14" Type="http://schemas.openxmlformats.org/officeDocument/2006/relationships/hyperlink" Target="https://www.sec.gov/Archives/edgar/data/766829/000110465926023470/tm267546d3_ex10-2.htm" TargetMode="External"/><Relationship Id="rId15" Type="http://schemas.openxmlformats.org/officeDocument/2006/relationships/hyperlink" Target="https://www.sec.gov/Archives/edgar/data/766829/000110465926023470/tm267546d3_ex10-2.htm" TargetMode="External"/><Relationship Id="rId16" Type="http://schemas.openxmlformats.org/officeDocument/2006/relationships/hyperlink" Target="https://www.sec.gov/Archives/edgar/data/766829/000110465926023470/tm267546d3_ex10-2.htm" TargetMode="External"/><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17536</Words>
  <Characters>99729</Characters>
  <CharactersWithSpaces>116344</CharactersWithSpaces>
  <Paragraphs>1973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