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27,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H2O America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20"/>
        <w:jc w:val="center"/>
        <w:rPr>
          <w:color w:val="000000"/>
        </w:rPr>
      </w:pPr>
      <w:r>
        <w:rPr>
          <w:color w:val="000000"/>
        </w:rPr>
        <w:t> </w:t>
      </w:r>
    </w:p>
    <w:tbl>
      <w:tblPr>
        <w:tblW w:w="5912"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136"/>
        <w:gridCol w:w="136"/>
        <w:gridCol w:w="136"/>
        <w:gridCol w:w="136"/>
        <w:gridCol w:w="136"/>
        <w:gridCol w:w="136"/>
        <w:gridCol w:w="136"/>
        <w:gridCol w:w="136"/>
        <w:gridCol w:w="137"/>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001-8966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77-0066628</w:t>
            </w:r>
          </w:p>
        </w:tc>
      </w:tr>
      <w:tr>
        <w:trPr/>
        <w:tc>
          <w:tcPr>
            <w:tcW w:w="23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4765" w:type="dxa"/>
        <w:jc w:val="center"/>
        <w:tblInd w:w="0" w:type="dxa"/>
        <w:tblLayout w:type="fixed"/>
        <w:tblCellMar>
          <w:top w:w="28" w:type="dxa"/>
          <w:left w:w="28" w:type="dxa"/>
          <w:bottom w:w="28" w:type="dxa"/>
          <w:right w:w="28" w:type="dxa"/>
        </w:tblCellMar>
      </w:tblPr>
      <w:tblGrid>
        <w:gridCol w:w="771"/>
        <w:gridCol w:w="676"/>
        <w:gridCol w:w="682"/>
        <w:gridCol w:w="294"/>
        <w:gridCol w:w="294"/>
        <w:gridCol w:w="296"/>
        <w:gridCol w:w="125"/>
        <w:gridCol w:w="125"/>
        <w:gridCol w:w="126"/>
        <w:gridCol w:w="109"/>
        <w:gridCol w:w="109"/>
        <w:gridCol w:w="109"/>
        <w:gridCol w:w="307"/>
        <w:gridCol w:w="307"/>
        <w:gridCol w:w="435"/>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 West Taylor Street,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Jose,</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95110</w:t>
            </w:r>
          </w:p>
        </w:tc>
      </w:tr>
      <w:tr>
        <w:trPr/>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(408) 279-7800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20"/>
        <w:jc w:val="center"/>
        <w:rPr>
          <w:color w:val="000000"/>
        </w:rPr>
      </w:pPr>
      <w:r>
        <w:rPr>
          <w:color w:val="000000"/>
        </w:rPr>
        <w:t> </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    </w:t>
      </w: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On July 27</w:t>
      </w:r>
      <w:r>
        <w:rPr>
          <w:rFonts w:ascii="Times New Roman;serif" w:hAnsi="Times New Roman;serif"/>
          <w:b w:val="false"/>
          <w:color w:val="000000"/>
          <w:sz w:val="20"/>
        </w:rPr>
        <w:t>, 2026</w:t>
      </w:r>
      <w:r>
        <w:rPr>
          <w:rFonts w:ascii="Times New Roman;serif" w:hAnsi="Times New Roman;serif"/>
          <w:b w:val="false"/>
          <w:color w:val="000000"/>
          <w:sz w:val="20"/>
          <w:shd w:fill="FFFFFF" w:val="clear"/>
        </w:rPr>
        <w:t xml:space="preserve">, H2O America (the "Company") issued a press release announcing its 2026 second quarter financial results. A copy of the press release is attached hereto as Exhibit 99.1 and incorporated into this Item 2.02 of Form 8-K by </w:t>
      </w:r>
      <w:r>
        <w:rPr>
          <w:rFonts w:ascii="Times New Roman;serif" w:hAnsi="Times New Roman;serif"/>
          <w:b w:val="false"/>
          <w:color w:val="000000"/>
          <w:sz w:val="20"/>
        </w:rPr>
        <w:t>reference</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including the exhibit, shall not be deemed “filed” for purposes of Section 18 of the Securities Exchange Act of 1934, as amended (the “Exchange Act”), or otherwise subject to the liabilities under that Section, nor shall it be deemed to be incorporated by reference into any filing under the Securities Act of 1933, as amended, or the Exchange Act, except as expressly set forth by specific reference in such filing.</w:t>
      </w:r>
    </w:p>
    <w:tbl>
      <w:tblPr>
        <w:tblW w:w="3989" w:type="dxa"/>
        <w:jc w:val="left"/>
        <w:tblInd w:w="0" w:type="dxa"/>
        <w:tblLayout w:type="fixed"/>
        <w:tblCellMar>
          <w:top w:w="28" w:type="dxa"/>
          <w:left w:w="28" w:type="dxa"/>
          <w:bottom w:w="28" w:type="dxa"/>
          <w:right w:w="28" w:type="dxa"/>
        </w:tblCellMar>
      </w:tblPr>
      <w:tblGrid>
        <w:gridCol w:w="169"/>
        <w:gridCol w:w="149"/>
        <w:gridCol w:w="149"/>
        <w:gridCol w:w="149"/>
        <w:gridCol w:w="149"/>
        <w:gridCol w:w="149"/>
        <w:gridCol w:w="900"/>
        <w:gridCol w:w="900"/>
        <w:gridCol w:w="1275"/>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35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744"/>
        <w:gridCol w:w="2744"/>
        <w:gridCol w:w="390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q2026.htm">
              <w:r>
                <w:rPr>
                  <w:rStyle w:val="InternetLink"/>
                  <w:rFonts w:ascii="Times New Roman;serif" w:hAnsi="Times New Roman;serif"/>
                  <w:b w:val="false"/>
                  <w:color w:val="000080"/>
                  <w:sz w:val="20"/>
                  <w:u w:val="single"/>
                </w:rPr>
                <w:t xml:space="preserve">Press Release issued by H2O America dated </w:t>
              </w:r>
            </w:hyperlink>
            <w:hyperlink w:anchor="exhibit991-2q2026.htm">
              <w:r>
                <w:rPr>
                  <w:rStyle w:val="InternetLink"/>
                  <w:rFonts w:ascii="Times New Roman;serif" w:hAnsi="Times New Roman;serif"/>
                  <w:b w:val="false"/>
                  <w:color w:val="000080"/>
                  <w:sz w:val="20"/>
                  <w:u w:val="single"/>
                </w:rPr>
                <w:t>July 27</w:t>
              </w:r>
            </w:hyperlink>
            <w:hyperlink w:anchor="exhibit991-2q2026.htm">
              <w:r>
                <w:rPr>
                  <w:rStyle w:val="InternetLink"/>
                  <w:rFonts w:ascii="Times New Roman;serif" w:hAnsi="Times New Roman;serif"/>
                  <w:b w:val="false"/>
                  <w:color w:val="000080"/>
                  <w:sz w:val="20"/>
                  <w:u w:val="single"/>
                </w:rPr>
                <w:t xml:space="preserve">, 2026 announcing the 2026 </w:t>
              </w:r>
            </w:hyperlink>
            <w:hyperlink w:anchor="exhibit991-2q2026.htm">
              <w:r>
                <w:rPr>
                  <w:rStyle w:val="InternetLink"/>
                  <w:rFonts w:ascii="Times New Roman;serif" w:hAnsi="Times New Roman;serif"/>
                  <w:b w:val="false"/>
                  <w:color w:val="000080"/>
                  <w:sz w:val="20"/>
                  <w:u w:val="single"/>
                </w:rPr>
                <w:t>Second</w:t>
              </w:r>
            </w:hyperlink>
            <w:hyperlink w:anchor="exhibit991-2q2026.htm">
              <w:r>
                <w:rPr>
                  <w:rStyle w:val="InternetLink"/>
                  <w:rFonts w:ascii="Times New Roman;serif" w:hAnsi="Times New Roman;serif"/>
                  <w:b w:val="false"/>
                  <w:color w:val="000080"/>
                  <w:sz w:val="20"/>
                  <w:u w:val="single"/>
                </w:rPr>
                <w:t xml:space="preserve"> Quarter Financial Results.</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Inline XBRL document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ind w:left="0" w:right="0" w:firstLine="4680"/>
        <w:jc w:val="left"/>
        <w:rPr>
          <w:rFonts w:ascii="Times New Roman;serif" w:hAnsi="Times New Roman;serif"/>
          <w:b/>
          <w:color w:val="000000"/>
          <w:sz w:val="20"/>
        </w:rPr>
      </w:pPr>
      <w:r>
        <w:rPr>
          <w:rFonts w:ascii="Times New Roman;serif" w:hAnsi="Times New Roman;serif"/>
          <w:b/>
          <w:color w:val="000000"/>
          <w:sz w:val="20"/>
        </w:rPr>
        <w:t>H2O America</w:t>
      </w:r>
    </w:p>
    <w:p>
      <w:pPr>
        <w:pStyle w:val="TextBody"/>
        <w:bidi w:val="0"/>
        <w:spacing w:before="0" w:after="0"/>
        <w:jc w:val="left"/>
        <w:rPr/>
      </w:pPr>
      <w:r>
        <w:rPr/>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618"/>
        <w:gridCol w:w="544"/>
        <w:gridCol w:w="547"/>
        <w:gridCol w:w="922"/>
        <w:gridCol w:w="922"/>
        <w:gridCol w:w="130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Ann P. Kelly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Ann P. Kelly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H2O America Announces Second Quarter 2026 Financial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Second quarter 2026 reported diluted EPS of $0.62 and adjusted diluted EPS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$0.72, as compared to reported and adjusted diluted EPS in the second quarter of 2025 of $0.71 and $0.75, respectively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Year-to-date 2026 reported diluted EPS of $1.12 and adjusted diluted EPS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$1.23, as compared to reported and adjusted diluted EPS in the same period of 2025 of $1.20 and $1.25, respectively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Reiterate all aspects of financial guidance, including 2026 standalone adjusted diluted EPS guidance of $3.08-$3.18</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(excluding the impacts of the pending Quadvest acquisition and the financing thereof)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$206.9 million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invested in infrastructure during the first half of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Key milestones reached in Quadvest approval process; anticipate closing end of third/early fourth quarter of 2026; active Quadvest connections up 10%, or 5,400, in 2026 while connections under contract and pending development has grown 14%, or nearly 12,000 connections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Declared $0.44 cash dividend per share of common stock</w:t>
      </w:r>
    </w:p>
    <w:p>
      <w:pPr>
        <w:pStyle w:val="TextBody"/>
        <w:bidi w:val="0"/>
        <w:spacing w:lineRule="auto" w:line="288" w:before="0" w:after="120"/>
        <w:jc w:val="left"/>
        <w:rPr/>
      </w:pPr>
      <w:r>
        <w:rPr>
          <w:rFonts w:ascii="Times New Roman;serif" w:hAnsi="Times New Roman;serif"/>
          <w:b/>
          <w:color w:val="000000"/>
          <w:sz w:val="20"/>
        </w:rPr>
        <w:t>SAN JOSE, Calif. — July 27, 2026</w:t>
      </w:r>
      <w:r>
        <w:rPr>
          <w:color w:val="000000"/>
        </w:rPr>
        <w:t xml:space="preserve"> — </w:t>
      </w:r>
      <w:r>
        <w:rPr>
          <w:rFonts w:ascii="Times New Roman;serif" w:hAnsi="Times New Roman;serif"/>
          <w:b w:val="false"/>
          <w:color w:val="000000"/>
          <w:sz w:val="20"/>
        </w:rPr>
        <w:t>H2O America (NASDAQ: HTO) today reported financial results for the second quarter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strong second quarter results have our company in an excellent position midway through 2026 to deliver on our full year guidance and we remain committed to our longer-term financial targets," said chair and chief executive officer, Andrew F. Walters. "During the second quarter, our teams made substantial progress towards obtaining Texas regulatory approval for the regulated portion of the Quadvest acquisition. In addition, a great deal of thought and effort went into the general rate cases that we filed in Connecticut and Maine seeking the recovery of more than $180 million of combined investments that are not yet recognized in rates. The regulatory and operational focus of our team is unwavering as we execute on our growth strategy while providing our customers and the communities that we are honored to serve with the high quality service they deserve. The hard work and shared passion that my fellow partners here at H2O America exhibit each and every day make it all possible and I could not be more proud."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Second Quarter 2026 Operating Results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prepared in accordance with GAAP for the second quarter ended June 30, 2026 was $26.6 million, an 8% increase compared to $24.7 million in the same quarter last year. GAAP diluted EPS for the quarter of $0.62 decreased versus $0.71 in the prior year quarter. </w:t>
      </w:r>
    </w:p>
    <w:p>
      <w:pPr>
        <w:pStyle w:val="TextBody"/>
        <w:bidi w:val="0"/>
        <w:spacing w:lineRule="auto" w:line="288" w:before="0" w:after="120"/>
        <w:jc w:val="left"/>
        <w:rPr/>
      </w:pPr>
      <w:r>
        <w:rPr>
          <w:rFonts w:ascii="Times New Roman;serif" w:hAnsi="Times New Roman;serif"/>
          <w:b w:val="false"/>
          <w:color w:val="000000"/>
          <w:sz w:val="20"/>
        </w:rPr>
        <w:t>Adjusting for costs associated with merger, acquisition and integration activities and non-utility real estate transactions, H2O America's adjusted net income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 the second quarter of 2026 was $30.7 million, an increase of 17% compared to $26.2 million in the prior year quarter. Adjusted diluted EPS (non-GAAP) for the quarter of $0.72 slightly decreased versus $0.75 in the prior year quarter.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both GAAP and adjusted results, while our underlying net income grew during the 2026 period, this was more than offset by the higher share count as a result of leveraging our at-the-market (ATM) program throughout 2025 and our common stock issuance in early March of 2026. A full reconciliation of GAAP net income to adjusted net income for the quarter ended June 30, 2026 is included in the tables at the end of this news release.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 for the second quarter was $210.5 million, compared to $198.3 million for the same quarter last year, a 6% increase. The increase was driven primarily by rate increases of $14.5 million across all of our states but primarily in California and Connecticut. This was partially offset by a decrease of $1.7 million due to regulatory mechanism adjustments.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second quarter were $167.7 million, up 9% compared to $154.4 million for the same quarter last year. This change in operating expenses primarily reflects: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in water production expenses of $4.6 million compared to the same quarter last year primarily attributable to increases in average per unit costs for purchased water and groundwater extraction, partially offset by lower usage.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in depreciation and amortization expense of $3.4 million associated with utility plant additions placed in service compared to the same quarter last year.</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in all other operating expenses of $5.3 million compared to the same quarter last year primarily attributable to a net increase in general and administrative expenses driven by increased merger and acquisition costs, increased outsourced services costs, increased employee-related costs and increased maintenance agreement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effective consolidated income tax rates for the second quarter of 2026 and 2025 were approximately 13% and 16%, respectively. The lower effective tax rate for the second quarter of 2026 was primarily due to higher flow through tax benefits.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Year-to-Date Operating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prepared in accordance with GAAP for the six months ended June 30, 2026 was $45.6 million, an 11% increase compared to $41.2 million in the same period of 2025. GAAP diluted EPS for the six months of $1.12 decreased versus $1.20 in the same period last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adjusted net income (non-GAAP) for the six months ended June 30, 2026 was $50.1 million, an increase of 17% compared to $42.9 million in the same period last year. Adjusted diluted EPS (non-GAAP) for the first six months of 2026 of $1.23 slightly decreased versus $1.25 in the same period last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both GAAP and adjusted results, while our underlying net income grew during the 2026 period, this was more than offset by the higher share count as a result of leveraging our ATM program throughout 2025 and our common stock issuance in early March of 2026. A full reconciliation of GAAP net income to adjusted net income for the six months ended June 30, 2026 is included in the tables at the end of this news release.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 for the first six months of 2026 was $393.8 million compared to $365.9 million for the same period last year, an 8% increase. The increase was driven primarily by rate increases of $26.4 million, primarily in California, Connecticut, and Texas, as well as higher customer usage of $2.0 million. This was partially offset by a decrease of $1.6 million due to regulatory mechanism adjustments.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first six months of 2026 were $313.6 million, up 10% compared to $286.1 million for the same period last year. This change in operating expenses primarily reflects: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in water production expenses of $12.1 million compared to the same period last year primarily attributable to increases in average per unit costs for purchased water and groundwater extraction, increases in water production balancing and memorandum accounts, primarily relating to the Full Cost Balancing Account ("FCBA"), and higher customer usage, partially offset by decreases in costs as a result of increased availability of surface water.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 increase in depreciation and amortization expense of $7.4 million associated with utility plant additions placed in service compared to the same period last year.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in all other operating expenses of $8.0 million compared to the same period last year primarily attributable to a net increase in general and administrative expenses driven by higher merger and acquisition costs, outsourced services, insurance, and maintenance agreement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effective consolidated income tax rates for the first six months of 2026 and 2025 were approximately 14% and 16%, respectively. The lower effective tax rate for the six months of 2026 was primarily due to higher flow through tax benefits.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Capital Expenditures </w:t>
      </w:r>
    </w:p>
    <w:p>
      <w:pPr>
        <w:pStyle w:val="TextBody"/>
        <w:bidi w:val="0"/>
        <w:spacing w:lineRule="auto" w:line="288" w:before="0" w:after="120"/>
        <w:jc w:val="left"/>
        <w:rPr/>
      </w:pPr>
      <w:r>
        <w:rPr>
          <w:rFonts w:ascii="Times New Roman;serif" w:hAnsi="Times New Roman;serif"/>
          <w:b w:val="false"/>
          <w:color w:val="000000"/>
          <w:sz w:val="20"/>
        </w:rPr>
        <w:t>Through June 30, 2026, H2O America has invested $206.9 million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infrastructure. We continue to plan to invest $483 million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capital for the full year 2026 (excluding the impact of Quadvest) and a total of $2.7 billion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over the 2026-30 period (including the impacts of Quadvest and Cibolo Valley) to build and maintain our water and wastewater operations, subject to regulatory approvals and availability of funding.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Quadvest Acquisition Update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Texas Water Company (TWC) and Texas Water Operation Services continue to progress through the regulatory process for their previously announced $540 million acquisition of Quadvest.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9, 2026, the Public Utility Commission of Texas (PUCT) Staff recommended that the proposed transaction should be allowed to proceed without a public hearing as part of the pending Sale-Transfer-Merger (STM) application docket. The Quadvest STM procedural schedule outlines August 26, 2026 as the 120-day statutory deadline for the PUCT to approve the sale or require a hearing. Based on the aforementioned milestones, we anticipate closing the transaction around the end of the third quarter or early fourth quarter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STM application requests approval of TWC’s acquisition of the Quadvest, L.P. assets and certification of the value of the ratemaking rate base, as determined in accordance with Texas’ fair market value (FMV) statute, at TWC’s $483.6 million purchase price.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Quadvest continues to achieve its anticipated customer growth. Total active connections grew 10%, or 5,400 connections, during the first six months of 2026 after growing 16%, or 7,400 connections, in 2025. This brings Quadvest's total active connections to 59,800 as of June 30, 2026. In addition, despite converting 5,400 connections to active, the number of connections under contract and pending development at June 30, 2026 grew by 11,900, to nearly 99,000, since December 31, 2025. As previously communicated, we expect the addition of Quadvest to drive Texas from 8% of our consolidated customer base at year-end 2025 to 26% by 2029.</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2026 and Long-Term EPS Guidance </w:t>
      </w:r>
    </w:p>
    <w:p>
      <w:pPr>
        <w:pStyle w:val="TextBody"/>
        <w:bidi w:val="0"/>
        <w:spacing w:lineRule="auto" w:line="288" w:before="0" w:after="120"/>
        <w:jc w:val="left"/>
        <w:rPr/>
      </w:pPr>
      <w:r>
        <w:rPr>
          <w:rFonts w:ascii="Times New Roman;serif" w:hAnsi="Times New Roman;serif"/>
          <w:b w:val="false"/>
          <w:color w:val="000000"/>
          <w:sz w:val="20"/>
        </w:rPr>
        <w:t>The company affirms its standalone 2026 adjusted diluted EPS guidance of $3.08-$3.18</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2026 guidance excludes the impacts of the pending Quadvest and Cibolo Valley acquisitions and the financing thereof, which will be initially dilutive to EPS prior to our ability to implement new rates reflecting the ratemaking rate bases of the acquired assets resulting from a consolidated Texas general rate case that we expect to file in early 2027.</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also affirm our non-linear, long-term adjusted diluted EPS CAGR target of 6-8%, anchored off of 2025's adjusted diluted EPS of $2.99. The long-term 6-8% CAGR target reflects a long-term, sustainable organic growth rate that is supported by elevated capital investment needs for decades to come and does not factor in any potential M&amp;A opportunities beyond Quadvest and Cibolo Valley.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continue to expect to deliver a non-linear adjusted diluted EPS CAGR at or above the top end of the 6-8% range over the 2026-30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guidance is subject to risks and uncertainties, including, without limitation, those factors outlined in the Forward-Looking Statements of this release and the Risk Factors section of the company’s annual and quarterly reports filed with the Securities and Exchange Commission.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Rate Activity and Regulatory Highlights</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California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10, 2026, San Jose Water Company ("SJWC") filed with the California Public Utilities Commission (CPUC) for cost recovery of its planned PFAS compliance program. Specifically, SJWC seeks authorization to design and construct an ion exchange PFAS remediation system at its Williams Station as well as to track the associated capital and operation and maintenance costs for recovery. SJWC estimates the total capital cost of the project to be approximately $176 million. If approved, SJWC would adjust rates via annual rate base filing offsets.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30, 2026, the CPUC approved Advice Letter 629A, which requested an $8.4 million increase in revenue on July 1, 2026 for SJWC's incremental $52.9 million of investments in its Advanced Metering Infrastructure (AMI) project.</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Connecticut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 2026, a Water Quality and Treatment Adjustment (WQTA) surcharge of $0.6 million, or 0.50%, became effective following Public Utilities Regulatory Authority (PURA) approval on March 18, 2026. Connecticut Water Company (CWC) submitted its first WQTA application on January 22, 2026 to recover the costs associated with in-progress or completed WQTA-eligible projects.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 2026, a $2.7 million increase in annualized Water Infrastructure and Conservation Adjustment (WICA) revenues became effective for the recovery of $25.7 million in completed projects. PURA approved the filing in its entirety on March 25, 2026 which brought the cumulative WICA surcharge to 9.90%, collecting $12.1 million on an annual basis.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2025 Water Revenue Adjustment (WRA) mechanism surcharge of 5.70% became effective for the 12-month period beginning April 1, 2026. PURA approved CWC's WRA filing in its entirety on March 19, 2026. The mechanism reconciles 2025 revenues as authorized in CWC’s most recent general rate case as well as provides for recovery of certain amounts of compensation expenses as a result of achieving the PURA prescribed performance metrics in our last general rate case.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11, 2026, CWC filed a general rate case application with the PURA requesting a $28.8 million increase in annual revenues for the recovery of the approximately $145 million of infrastructure investments made between its last rate case and the end of 2026 as that investment is not reflected in current rates. The test year will be the 12-month period ending December 31, 2025, for new rates to become effective February 2027. </w:t>
      </w:r>
    </w:p>
    <w:p>
      <w:pPr>
        <w:pStyle w:val="TextBody"/>
        <w:bidi w:val="0"/>
        <w:spacing w:lineRule="auto" w:line="288" w:before="120" w:after="120"/>
        <w:jc w:val="left"/>
        <w:rPr/>
      </w:pPr>
      <w:r>
        <w:rPr>
          <w:rFonts w:ascii="Times New Roman;serif" w:hAnsi="Times New Roman;serif"/>
          <w:b w:val="false"/>
          <w:color w:val="000000"/>
          <w:sz w:val="20"/>
          <w:u w:val="single"/>
        </w:rPr>
        <w:t>Maine</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13, 2026, Maine Water Company (MWC) filed its first consolidated general rate case with the Maine Public Utilities Commission (MPUC) requesting a $9.5 million increase in annual revenues for the recovery of an anticipated $36 million of infrastructure investments not reflected in current rates using a test year ending December 31, 2025. New rates are expected to go into effect by the second quarter of 2027.</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2026, the MPUC approved MWC's first consolidated Water Infrastructure Charge (WISC) application in its entirety and the new rates became effective immediately. MWC filed the $0.9 million WISC increase request on February 27, 2026.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Texas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6, 2025, TWC filed an application with the PUCT to increase the system improvement charge (SIC) by $5.1 million for completed water and wastewater projects. A decision from the PUCT is expected in the second half of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21, 2026, TWC filed the STM application for the acquisition of the Cibolo Valley wastewater treatment plant and associated collection systems, which serve more than 1,500 wastewater connections within TWC's existing water service area. We expect to close the transaction during the fourth quarter of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Dividend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27, 2026, the Board of Directors of H2O America declared a quarterly cash dividend on common stock of $0.44 per share, payable on September 1, 2026, to shareholders of record at the close of business on August 10, 2026. The 2026 annualized dividend is expected to be $1.76 per share compared with $1.68 per share in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Dividends have been paid on H2O America’s and its predecessor’s common stock for more than 80 consecutive years, and the annual dividend amount has increased in each of the past 58 years, placing H2O America in an exclusive group of companies.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Results Call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Andrew F. Walters, chair and chief executive officer, Ann P. Kelly, chief financial officer and treasurer, and Bruce A. Hauk, president and chief operating officer, will review results for the second quarter of 2026 along with discussing other recent developments in a live webcast presentation at 8 a.m. Pacific Time, or 11 a.m. Eastern Time, on Tuesday, July 28,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Interested parties may access the webcast and related presentation materials at the website www.h2o-america.com. An archive of the webcast will be available until October 27, 2026.</w:t>
      </w:r>
    </w:p>
    <w:p>
      <w:pPr>
        <w:pStyle w:val="TextBody"/>
        <w:bidi w:val="0"/>
        <w:spacing w:lineRule="auto" w:line="288" w:before="0" w:after="120"/>
        <w:jc w:val="left"/>
        <w:rPr/>
      </w:pPr>
      <w:r>
        <w:rPr>
          <w:rFonts w:ascii="Times New Roman;serif" w:hAnsi="Times New Roman;serif"/>
          <w:b/>
          <w:color w:val="000000"/>
          <w:sz w:val="20"/>
        </w:rPr>
        <w:t>Non-GAAP Financial Measures</w:t>
      </w:r>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H2O America's net income and diluted EPS are prepared in accordance with GAAP and represent the earnings as reported to the Securities and Exchange Commission. Adjusted net income and Adjusted diluted EPS are non-GAAP financial measures representing GAAP earnings adjusted to exclude the effects of non-utility real estate transactions and costs associated with mergers, acquisitions and integration activities, if any. These non-GAAP financial measures are provided as additional information for investors to evaluate the performance of H2O America's business activities excluding these items. Management also believes these non-GAAP financial measures help investors and analysts better understand our actual results compared to our guidance on a non-GAAP basis. H2O America uses adjusted net income and/or adjusted diluted EPS as the primary performance measurements when communicating with analysts and investors regarding our outlook and results. Adjusted net income and Adjusted diluted EPS are also used internally to measure performance. However, these non-GAAP financial measures may be different from non-GAAP financial measures used by other companies, even when the same or similarly titled terms are used to identify such measures, limiting their usefulness for comparative purposes. Further, these non-GAAP financial measures should be considered as a supplement to the financial information prepared on a GAAP basis rather than an alternative to the respective GAAP financial measures.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About H2O America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H2O America is among the largest investor-owned pure-play water and wastewater utilities in the United States, providing life-sustaining and high-quality water service to over 1.6 million people. H2O America’s locally led and operated water utilities - San Jose Water Company in California, The Connecticut Water Company in Connecticut, The Maine Water Company in Maine, and SJWTX, Inc. (dba The Texas Water Company) in Texas - possess the financial strength, operational expertise, and technological innovation to safeguard the environment, deliver outstanding service to customers, and provide opportunities to employees. H2O America remains focused on investing in its operations, remaining actively engaged in its local communities, and delivering continued sustainable value to its stockholders. For more information about H2O America, please visit www.h2o-america.com.</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Some of these forward-looking statements can be identified by the use of forward-looking words such as “believes,” “expects,” “estimates,” “anticipates,” “intends,” “seeks,” “plans,” “projects,” “may,” “should,” “will,” “approximately,” “strategy,” or the negative of those words or other comparable terminology. These forward-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looking statements are only predictions and are subject to risks, uncertainties, and assumptions that are difficult to predict. Therefore, actual results may differ materially and adversely from those expressed in any 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accuracy of such statements is subject to a number of risks, uncertainties and assumptions including, but not limited to, the following factors: (1) the risks associated with the proposed Quadvest and Cibolo Valley transactions, including, the risk of the proposed transactions not closing on the anticipated timeline, or at all, the ability to obtain required regulatory approvals, and the ability to successfully integrate Quadvest’s and Cibolo Valley's operations and realize the projected financial and other benefits of the proposed transactions; (2) the effect of water, utility, environmental and other governmental policies and regulations, including regulatory actions concerning rates, authorized return on equity, authorized capital structures, capital expenditures, PFAS and other decisions; (3) changes in demand for water and other services; (4) unanticipated weather conditions and changes in seasonality including those affecting water supply and customer usage; (5) the effect of the impact of climate change; (6) unexpected costs, charges or expenses; (7) our ability to successfully evaluate investments in new business and growth initiatives; (8) contamination of our water supplies and damage or failure of our water equipment and infrastructure; (9) the risk of work stoppages, strikes and other labor-related actions; (10) catastrophic events such as fires, earthquakes, explosions, floods, ice storms, tornadoes, hurricanes, terrorist acts, physical attacks, cyber-attacks, epidemic, or similar occurrences; (11) changes in general economic, political, legislative, business and financial market conditions; and (12) the ability to obtain financing on favorable terms, or at all (including the financing for the proposed transactions with Quadvest in a timely manner), which can be affected by various factors, including credit ratings, changes in interest rates, compliance with regulatory requirements, compliance with the terms and conditions of our outstanding indebtedness, and general market and economic conditions. The risks, uncertainties and other factors may cause the actual results, performance or achievements of H2O America to be materially different from any future results, performance or achievements expressed or implied by such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H2O America undertakes no obligation to publicly update or revise any forward-looking statement, whether as a result of new information, future events, or otherwise, except as required by law.</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H2O America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 P. Kelly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408.385.4752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Ann.Kelly@H2O-America.com</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 Reeder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Director of Treasury and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475.414.1034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Jonathan.Reeder@H2O-America.com</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12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Adjusted net income and adjusted diluted EPS are non-GAAP financial measures as defined below. See the tables below for reconciliations to the most comparable GAAP measures. Information reconciling adjusted diluted EPS guidance to the comparable GAAP financial measure is unavailable to the company without unreasonable effort, as discussed below.</w:t>
      </w:r>
    </w:p>
    <w:p>
      <w:pPr>
        <w:pStyle w:val="TextBody"/>
        <w:bidi w:val="0"/>
        <w:spacing w:before="0" w:after="0"/>
        <w:jc w:val="left"/>
        <w:rPr/>
      </w:pPr>
      <w:r>
        <w:rPr/>
      </w:r>
    </w:p>
    <w:p>
      <w:pPr>
        <w:pStyle w:val="TextBody"/>
        <w:bidi w:val="0"/>
        <w:spacing w:lineRule="auto" w:line="288" w:before="60" w:after="12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Includes both utility plant additions and capitalizable costs associated with cloud-computing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H2O America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61"/>
        <w:gridCol w:w="939"/>
        <w:gridCol w:w="946"/>
        <w:gridCol w:w="281"/>
        <w:gridCol w:w="1029"/>
        <w:gridCol w:w="135"/>
        <w:gridCol w:w="135"/>
        <w:gridCol w:w="135"/>
        <w:gridCol w:w="135"/>
        <w:gridCol w:w="540"/>
        <w:gridCol w:w="541"/>
        <w:gridCol w:w="176"/>
        <w:gridCol w:w="109"/>
        <w:gridCol w:w="109"/>
        <w:gridCol w:w="109"/>
        <w:gridCol w:w="668"/>
        <w:gridCol w:w="413"/>
        <w:gridCol w:w="195"/>
        <w:gridCol w:w="195"/>
        <w:gridCol w:w="195"/>
        <w:gridCol w:w="195"/>
        <w:gridCol w:w="668"/>
        <w:gridCol w:w="413"/>
        <w:gridCol w:w="195"/>
        <w:gridCol w:w="109"/>
        <w:gridCol w:w="109"/>
        <w:gridCol w:w="109"/>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extraction charges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production expenses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expenses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313,587 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non-service credit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Dividends per share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Basic</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41,851,524 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39,900,622 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34,280,727 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42,865,195 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34,860,349 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40,897,868 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34,367,212 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H2O America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08"/>
        <w:gridCol w:w="2246"/>
        <w:gridCol w:w="2247"/>
        <w:gridCol w:w="211"/>
        <w:gridCol w:w="976"/>
        <w:gridCol w:w="109"/>
        <w:gridCol w:w="109"/>
        <w:gridCol w:w="109"/>
        <w:gridCol w:w="109"/>
        <w:gridCol w:w="515"/>
        <w:gridCol w:w="461"/>
        <w:gridCol w:w="505"/>
      </w:tblGrid>
      <w:tr>
        <w:trPr/>
        <w:tc>
          <w:tcPr>
            <w:tcW w:w="260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4,688,644 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5,054,199 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1,120,232 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3,933,967 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Nonutility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net of allowances for credit losses of $760 and $722 on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unbilled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regulatory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190,593 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1,023,426 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H2O America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7"/>
        <w:gridCol w:w="2265"/>
        <w:gridCol w:w="2276"/>
        <w:gridCol w:w="211"/>
        <w:gridCol w:w="976"/>
        <w:gridCol w:w="109"/>
        <w:gridCol w:w="109"/>
        <w:gridCol w:w="109"/>
        <w:gridCol w:w="109"/>
        <w:gridCol w:w="488"/>
        <w:gridCol w:w="488"/>
        <w:gridCol w:w="478"/>
      </w:tblGrid>
      <w:tr>
        <w:trPr/>
        <w:tc>
          <w:tcPr>
            <w:tcW w:w="2587"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70,000,000 shares; 41,852,853 issued and outstanding shares on June 30, 2026 and 36,118,242 on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958,188 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1,540,771 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1,866,819 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3,407,590 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86,834 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19,109 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regulatory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273,378 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307,893 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201,413 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342,697 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45,878 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H2O America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3"/>
        <w:gridCol w:w="1479"/>
        <w:gridCol w:w="1490"/>
        <w:gridCol w:w="296"/>
        <w:gridCol w:w="1015"/>
        <w:gridCol w:w="153"/>
        <w:gridCol w:w="153"/>
        <w:gridCol w:w="153"/>
        <w:gridCol w:w="153"/>
        <w:gridCol w:w="360"/>
        <w:gridCol w:w="361"/>
        <w:gridCol w:w="176"/>
        <w:gridCol w:w="109"/>
        <w:gridCol w:w="109"/>
        <w:gridCol w:w="109"/>
        <w:gridCol w:w="219"/>
        <w:gridCol w:w="752"/>
        <w:gridCol w:w="113"/>
        <w:gridCol w:w="113"/>
        <w:gridCol w:w="113"/>
        <w:gridCol w:w="113"/>
        <w:gridCol w:w="219"/>
        <w:gridCol w:w="533"/>
        <w:gridCol w:w="171"/>
      </w:tblGrid>
      <w:tr>
        <w:trPr/>
        <w:tc>
          <w:tcPr>
            <w:tcW w:w="17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Net Income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(Gain)/loss on sale of real estate investments</w:t>
            </w:r>
            <w:r>
              <w:rPr>
                <w:rFonts w:ascii="Times New Roman;serif" w:hAnsi="Times New Roman;serif"/>
                <w:b w:val="false"/>
                <w:color w:val="000000"/>
                <w:sz w:val="13"/>
              </w:rPr>
              <w:t>1</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Expense for merger, acquisition and integration activities</w:t>
            </w:r>
            <w:r>
              <w:rPr>
                <w:rFonts w:ascii="Times New Roman;serif" w:hAnsi="Times New Roman;serif"/>
                <w:b w:val="false"/>
                <w:color w:val="000000"/>
                <w:sz w:val="13"/>
              </w:rPr>
              <w:t>1</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above adjustments</w:t>
            </w:r>
            <w:r>
              <w:rPr>
                <w:rFonts w:ascii="Times New Roman;serif" w:hAnsi="Times New Roman;serif"/>
                <w:b w:val="false"/>
                <w:color w:val="000000"/>
                <w:sz w:val="13"/>
              </w:rPr>
              <w:t>2</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Diluted Earnings Per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sale of real estate investments, net of tax</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merger, acquisition and integration activities, net of tax</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(non-GAAP)</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"Administrative and general" and “Other, net” lines on the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tax effect on all adjustments is calculated at the applicable statutory rate.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4779</Words>
  <Characters>26960</Characters>
  <CharactersWithSpaces>31510</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