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c>
          <w:tcPr>
            <w:tcW w:w="2320" w:type="dxa"/>
            <w:vAlign w:val="bottom"/>
          </w:tcPr>
          <w:p>
            <w:pPr>
              <w:spacing w:after="0"/>
              <w:rPr>
                <w:sz w:val="16"/>
                <w:szCs w:val="16"/>
                <w:color w:val="auto"/>
              </w:rPr>
            </w:pPr>
          </w:p>
        </w:tc>
      </w:tr>
      <w:tr>
        <w:trPr>
          <w:trHeight w:val="174"/>
        </w:trPr>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00" w:type="dxa"/>
            <w:vAlign w:val="bottom"/>
            <w:gridSpan w:val="3"/>
          </w:tcPr>
          <w:p>
            <w:pPr>
              <w:jc w:val="center"/>
              <w:ind w:left="143"/>
              <w:spacing w:after="0" w:line="174" w:lineRule="exact"/>
              <w:rPr>
                <w:sz w:val="20"/>
                <w:szCs w:val="20"/>
                <w:color w:val="auto"/>
              </w:rPr>
            </w:pPr>
            <w:r>
              <w:rPr>
                <w:rFonts w:ascii="Times New Roman" w:cs="Times New Roman" w:eastAsia="Times New Roman" w:hAnsi="Times New Roman"/>
                <w:sz w:val="16"/>
                <w:szCs w:val="16"/>
                <w:b w:val="1"/>
                <w:bCs w:val="1"/>
                <w:color w:val="auto"/>
              </w:rPr>
              <w:t>Commission file number: 001-8966</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447"/>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5"/>
          </w:tcPr>
          <w:p>
            <w:pPr>
              <w:jc w:val="center"/>
              <w:ind w:right="1125"/>
              <w:spacing w:after="0"/>
              <w:rPr>
                <w:sz w:val="20"/>
                <w:szCs w:val="20"/>
                <w:color w:val="auto"/>
              </w:rPr>
            </w:pPr>
            <w:r>
              <w:rPr>
                <w:rFonts w:ascii="Times New Roman" w:cs="Times New Roman" w:eastAsia="Times New Roman" w:hAnsi="Times New Roman"/>
                <w:sz w:val="36"/>
                <w:szCs w:val="36"/>
                <w:b w:val="1"/>
                <w:bCs w:val="1"/>
                <w:color w:val="auto"/>
              </w:rPr>
              <w:t>H2O AMERICA</w:t>
            </w:r>
          </w:p>
        </w:tc>
        <w:tc>
          <w:tcPr>
            <w:tcW w:w="2320" w:type="dxa"/>
            <w:vAlign w:val="bottom"/>
          </w:tcPr>
          <w:p>
            <w:pPr>
              <w:spacing w:after="0"/>
              <w:rPr>
                <w:sz w:val="24"/>
                <w:szCs w:val="24"/>
                <w:color w:val="auto"/>
              </w:rPr>
            </w:pPr>
          </w:p>
        </w:tc>
      </w:tr>
      <w:tr>
        <w:trPr>
          <w:trHeight w:val="212"/>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60" w:type="dxa"/>
            <w:vAlign w:val="bottom"/>
            <w:gridSpan w:val="6"/>
          </w:tcPr>
          <w:p>
            <w:pPr>
              <w:jc w:val="center"/>
              <w:ind w:right="36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320" w:type="dxa"/>
            <w:vAlign w:val="bottom"/>
          </w:tcPr>
          <w:p>
            <w:pPr>
              <w:spacing w:after="0"/>
              <w:rPr>
                <w:sz w:val="18"/>
                <w:szCs w:val="18"/>
                <w:color w:val="auto"/>
              </w:rPr>
            </w:pPr>
          </w:p>
        </w:tc>
      </w:tr>
      <w:tr>
        <w:trPr>
          <w:trHeight w:val="243"/>
        </w:trPr>
        <w:tc>
          <w:tcPr>
            <w:tcW w:w="1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740" w:type="dxa"/>
            <w:vAlign w:val="bottom"/>
            <w:gridSpan w:val="3"/>
          </w:tcPr>
          <w:p>
            <w:pPr>
              <w:jc w:val="right"/>
              <w:ind w:right="2039"/>
              <w:spacing w:after="0"/>
              <w:rPr>
                <w:sz w:val="20"/>
                <w:szCs w:val="20"/>
                <w:color w:val="auto"/>
              </w:rPr>
            </w:pPr>
            <w:r>
              <w:rPr>
                <w:rFonts w:ascii="Times New Roman" w:cs="Times New Roman" w:eastAsia="Times New Roman" w:hAnsi="Times New Roman"/>
                <w:sz w:val="16"/>
                <w:szCs w:val="16"/>
                <w:b w:val="1"/>
                <w:bCs w:val="1"/>
                <w:color w:val="auto"/>
              </w:rPr>
              <w:t>77-0066628</w:t>
            </w:r>
          </w:p>
        </w:tc>
      </w:tr>
      <w:tr>
        <w:trPr>
          <w:trHeight w:val="198"/>
        </w:trPr>
        <w:tc>
          <w:tcPr>
            <w:tcW w:w="686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40" w:type="dxa"/>
            <w:vAlign w:val="bottom"/>
            <w:gridSpan w:val="3"/>
          </w:tcPr>
          <w:p>
            <w:pPr>
              <w:jc w:val="center"/>
              <w:ind w:right="12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3"/>
        </w:trPr>
        <w:tc>
          <w:tcPr>
            <w:tcW w:w="148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110 West Taylor Street,</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San Jose,</w:t>
            </w:r>
          </w:p>
        </w:tc>
        <w:tc>
          <w:tcPr>
            <w:tcW w:w="27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CA</w:t>
            </w:r>
          </w:p>
        </w:tc>
        <w:tc>
          <w:tcPr>
            <w:tcW w:w="3740" w:type="dxa"/>
            <w:vAlign w:val="bottom"/>
            <w:gridSpan w:val="3"/>
          </w:tcPr>
          <w:p>
            <w:pPr>
              <w:jc w:val="right"/>
              <w:ind w:right="2239"/>
              <w:spacing w:after="0"/>
              <w:rPr>
                <w:sz w:val="20"/>
                <w:szCs w:val="20"/>
                <w:color w:val="auto"/>
              </w:rPr>
            </w:pPr>
            <w:r>
              <w:rPr>
                <w:rFonts w:ascii="Times New Roman" w:cs="Times New Roman" w:eastAsia="Times New Roman" w:hAnsi="Times New Roman"/>
                <w:sz w:val="16"/>
                <w:szCs w:val="16"/>
                <w:b w:val="1"/>
                <w:bCs w:val="1"/>
                <w:color w:val="auto"/>
              </w:rPr>
              <w:t>95110</w:t>
            </w:r>
          </w:p>
        </w:tc>
      </w:tr>
      <w:tr>
        <w:trPr>
          <w:trHeight w:val="190"/>
        </w:trPr>
        <w:tc>
          <w:tcPr>
            <w:tcW w:w="1480" w:type="dxa"/>
            <w:vAlign w:val="bottom"/>
          </w:tcPr>
          <w:p>
            <w:pPr>
              <w:spacing w:after="0"/>
              <w:rPr>
                <w:sz w:val="16"/>
                <w:szCs w:val="16"/>
                <w:color w:val="auto"/>
              </w:rPr>
            </w:pPr>
          </w:p>
        </w:tc>
        <w:tc>
          <w:tcPr>
            <w:tcW w:w="5380" w:type="dxa"/>
            <w:vAlign w:val="bottom"/>
            <w:gridSpan w:val="6"/>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20" w:type="dxa"/>
            <w:vAlign w:val="bottom"/>
          </w:tcPr>
          <w:p>
            <w:pPr>
              <w:spacing w:after="0"/>
              <w:rPr>
                <w:sz w:val="16"/>
                <w:szCs w:val="16"/>
                <w:color w:val="auto"/>
              </w:rPr>
            </w:pPr>
          </w:p>
        </w:tc>
        <w:tc>
          <w:tcPr>
            <w:tcW w:w="3020" w:type="dxa"/>
            <w:vAlign w:val="bottom"/>
            <w:gridSpan w:val="2"/>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6"/>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2"/>
          </w:tcPr>
          <w:p>
            <w:pPr>
              <w:jc w:val="center"/>
              <w:ind w:left="803"/>
              <w:spacing w:after="0"/>
              <w:rPr>
                <w:sz w:val="20"/>
                <w:szCs w:val="20"/>
                <w:color w:val="auto"/>
              </w:rPr>
            </w:pPr>
            <w:r>
              <w:rPr>
                <w:rFonts w:ascii="Times New Roman" w:cs="Times New Roman" w:eastAsia="Times New Roman" w:hAnsi="Times New Roman"/>
                <w:sz w:val="16"/>
                <w:szCs w:val="16"/>
                <w:b w:val="1"/>
                <w:bCs w:val="1"/>
                <w:color w:val="auto"/>
              </w:rPr>
              <w:t>(408) 279-7800</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90"/>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20" w:type="dxa"/>
            <w:vAlign w:val="bottom"/>
          </w:tcPr>
          <w:p>
            <w:pPr>
              <w:spacing w:after="0"/>
              <w:rPr>
                <w:sz w:val="16"/>
                <w:szCs w:val="16"/>
                <w:color w:val="auto"/>
              </w:rPr>
            </w:pPr>
          </w:p>
        </w:tc>
      </w:tr>
      <w:tr>
        <w:trPr>
          <w:trHeight w:val="201"/>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90"/>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gridSpan w:val="7"/>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2320" w:type="dxa"/>
            <w:vAlign w:val="bottom"/>
          </w:tcPr>
          <w:p>
            <w:pPr>
              <w:spacing w:after="0"/>
              <w:rPr>
                <w:sz w:val="16"/>
                <w:szCs w:val="16"/>
                <w:color w:val="auto"/>
              </w:rPr>
            </w:pP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320" w:type="dxa"/>
            <w:vAlign w:val="bottom"/>
          </w:tcPr>
          <w:p>
            <w:pPr>
              <w:spacing w:after="0"/>
              <w:rPr>
                <w:sz w:val="17"/>
                <w:szCs w:val="17"/>
                <w:color w:val="auto"/>
              </w:rPr>
            </w:pPr>
          </w:p>
        </w:tc>
      </w:tr>
      <w:tr>
        <w:trPr>
          <w:trHeight w:val="226"/>
        </w:trPr>
        <w:tc>
          <w:tcPr>
            <w:tcW w:w="1480" w:type="dxa"/>
            <w:vAlign w:val="bottom"/>
          </w:tcPr>
          <w:p>
            <w:pPr>
              <w:spacing w:after="0"/>
              <w:rPr>
                <w:sz w:val="19"/>
                <w:szCs w:val="19"/>
                <w:color w:val="auto"/>
              </w:rPr>
            </w:pPr>
          </w:p>
        </w:tc>
        <w:tc>
          <w:tcPr>
            <w:tcW w:w="1940" w:type="dxa"/>
            <w:vAlign w:val="bottom"/>
            <w:gridSpan w:val="2"/>
          </w:tcPr>
          <w:p>
            <w:pPr>
              <w:jc w:val="center"/>
              <w:ind w:right="644"/>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40" w:type="dxa"/>
            <w:vAlign w:val="bottom"/>
          </w:tcPr>
          <w:p>
            <w:pPr>
              <w:spacing w:after="0"/>
              <w:rPr>
                <w:sz w:val="19"/>
                <w:szCs w:val="19"/>
                <w:color w:val="auto"/>
              </w:rPr>
            </w:pPr>
          </w:p>
        </w:tc>
        <w:tc>
          <w:tcPr>
            <w:tcW w:w="2700" w:type="dxa"/>
            <w:vAlign w:val="bottom"/>
            <w:gridSpan w:val="3"/>
          </w:tcPr>
          <w:p>
            <w:pPr>
              <w:jc w:val="center"/>
              <w:ind w:left="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720" w:type="dxa"/>
            <w:vAlign w:val="bottom"/>
          </w:tcPr>
          <w:p>
            <w:pPr>
              <w:spacing w:after="0"/>
              <w:rPr>
                <w:sz w:val="19"/>
                <w:szCs w:val="19"/>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00"/>
        </w:trPr>
        <w:tc>
          <w:tcPr>
            <w:tcW w:w="3420" w:type="dxa"/>
            <w:vAlign w:val="bottom"/>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HTO</w:t>
            </w:r>
          </w:p>
        </w:tc>
        <w:tc>
          <w:tcPr>
            <w:tcW w:w="720" w:type="dxa"/>
            <w:vAlign w:val="bottom"/>
          </w:tcPr>
          <w:p>
            <w:pPr>
              <w:spacing w:after="0"/>
              <w:rPr>
                <w:sz w:val="17"/>
                <w:szCs w:val="17"/>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318"/>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2320" w:type="dxa"/>
            <w:vAlign w:val="bottom"/>
          </w:tcPr>
          <w:p>
            <w:pPr>
              <w:spacing w:after="0"/>
              <w:rPr>
                <w:sz w:val="24"/>
                <w:szCs w:val="24"/>
                <w:color w:val="auto"/>
              </w:rPr>
            </w:pPr>
          </w:p>
        </w:tc>
      </w:tr>
      <w:tr>
        <w:trPr>
          <w:trHeight w:val="212"/>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94"/>
        </w:trPr>
        <w:tc>
          <w:tcPr>
            <w:tcW w:w="8280" w:type="dxa"/>
            <w:vAlign w:val="bottom"/>
            <w:gridSpan w:val="9"/>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p>
        </w:tc>
        <w:tc>
          <w:tcPr>
            <w:tcW w:w="23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highlight w:val="black"/>
              </w:rPr>
              <w:t>☐</w:t>
            </w:r>
          </w:p>
        </w:tc>
      </w:tr>
      <w:tr>
        <w:trPr>
          <w:trHeight w:val="272"/>
        </w:trPr>
        <w:tc>
          <w:tcPr>
            <w:tcW w:w="8280" w:type="dxa"/>
            <w:vAlign w:val="bottom"/>
            <w:gridSpan w:val="9"/>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highlight w:val="black"/>
              </w:rPr>
              <w:t>☐</w:t>
            </w:r>
          </w:p>
        </w:tc>
        <w:tc>
          <w:tcPr>
            <w:tcW w:w="23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20"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 w:leader="none" w:pos="72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highlight w:val="black"/>
        </w:rPr>
        <w:t>☐</w:t>
      </w:r>
    </w:p>
    <w:p>
      <w:pPr>
        <w:spacing w:after="0" w:line="122"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ind w:right="1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4"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highlight w:val="black"/>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As of June 30, 2025, the aggregate market value of the registrant’s common stock held by non-affiliates of the registrant was approximately $1.8 billion based on the closing sale price as reported on the Nasdaq Global Select Market.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19, 2026, 36,164,486 shares of the registrant’s common stock, par value, $0.001 per share, were outstanding.</w:t>
      </w:r>
    </w:p>
    <w:p>
      <w:pPr>
        <w:spacing w:after="0" w:line="8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registrant’s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5220" w:type="dxa"/>
            <w:vAlign w:val="bottom"/>
            <w:gridSpan w:val="7"/>
            <w:vMerge w:val="restart"/>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220" w:type="dxa"/>
            <w:vAlign w:val="bottom"/>
            <w:gridSpan w:val="7"/>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Forward-Looking Statements</w:t>
            </w:r>
          </w:p>
        </w:tc>
        <w:tc>
          <w:tcPr>
            <w:tcW w:w="8020" w:type="dxa"/>
            <w:vAlign w:val="bottom"/>
            <w:gridSpan w:val="14"/>
          </w:tcPr>
          <w:p>
            <w:pPr>
              <w:spacing w:after="0"/>
              <w:rPr>
                <w:sz w:val="21"/>
                <w:szCs w:val="21"/>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0000FF"/>
                <w:w w:val="93"/>
              </w:rPr>
              <w:t>Business</w:t>
            </w:r>
          </w:p>
        </w:tc>
        <w:tc>
          <w:tcPr>
            <w:tcW w:w="660" w:type="dxa"/>
            <w:vAlign w:val="bottom"/>
            <w:gridSpan w:val="4"/>
          </w:tcPr>
          <w:p>
            <w:pPr>
              <w:spacing w:after="0"/>
              <w:rPr>
                <w:sz w:val="18"/>
                <w:szCs w:val="18"/>
                <w:color w:val="auto"/>
              </w:rPr>
            </w:pPr>
          </w:p>
        </w:tc>
        <w:tc>
          <w:tcPr>
            <w:tcW w:w="8020" w:type="dxa"/>
            <w:vAlign w:val="bottom"/>
            <w:gridSpan w:val="14"/>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80" w:type="dxa"/>
            <w:vAlign w:val="bottom"/>
            <w:gridSpan w:val="11"/>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320" w:type="dxa"/>
            <w:vAlign w:val="bottom"/>
            <w:gridSpan w:val="15"/>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8000" w:type="dxa"/>
            <w:vAlign w:val="bottom"/>
            <w:gridSpan w:val="1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18"/>
                <w:szCs w:val="18"/>
                <w:color w:val="auto"/>
              </w:rPr>
            </w:pPr>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6"/>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Pr>
          <w:p>
            <w:pPr>
              <w:spacing w:after="0"/>
              <w:rPr>
                <w:sz w:val="18"/>
                <w:szCs w:val="18"/>
                <w:color w:val="auto"/>
              </w:rPr>
            </w:pPr>
          </w:p>
        </w:tc>
        <w:tc>
          <w:tcPr>
            <w:tcW w:w="7560" w:type="dxa"/>
            <w:vAlign w:val="bottom"/>
            <w:gridSpan w:val="12"/>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2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20" w:type="dxa"/>
            <w:vAlign w:val="bottom"/>
            <w:gridSpan w:val="7"/>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4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80" w:type="dxa"/>
            <w:vAlign w:val="bottom"/>
            <w:gridSpan w:val="4"/>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6160" w:type="dxa"/>
            <w:vAlign w:val="bottom"/>
            <w:gridSpan w:val="9"/>
          </w:tcPr>
          <w:p>
            <w:pPr>
              <w:spacing w:after="0"/>
              <w:rPr>
                <w:sz w:val="21"/>
                <w:szCs w:val="21"/>
                <w:color w:val="auto"/>
              </w:rPr>
            </w:pPr>
          </w:p>
        </w:tc>
        <w:tc>
          <w:tcPr>
            <w:tcW w:w="68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9300" w:type="dxa"/>
            <w:vAlign w:val="bottom"/>
            <w:gridSpan w:val="19"/>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Therefore, actual results may differ materially and adversely from those expressed in any forward-looking statements. Important factors that could cause or contribute to such differences include, but are not limited to, those discussed in this report under Item 1A, “Risk Factors,” and Item 7, “Management’s Discussion and Analysis of Financial Condition and Results of Operations,” and elsewhere, and in other reports and documents H2O America files with the Securities and Exchange Commission (the “SEC”), specifically the most recent Form 10-Q and reports on Form 8-K filed with the SEC, each as it may be amended from time to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44" w:lineRule="exact"/>
        <w:rPr>
          <w:sz w:val="20"/>
          <w:szCs w:val="20"/>
          <w:color w:val="auto"/>
        </w:rPr>
      </w:pPr>
    </w:p>
    <w:p>
      <w:pPr>
        <w:ind w:left="660" w:right="1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proposed transactions with Quadvest, L.P., a Texas limited partnership, and Quadvest Wholesale, LLC, a Texas limited liability company (together “Quadvest”), including, the risk of the proposed transactions not closing on the anticipated timeline, or at all, the ability to obtain required regulatory approvals, and the ability to successfully integrate Quadvest’s operations and realize the projected financial and other benefits of the proposed transactions;</w:t>
      </w:r>
    </w:p>
    <w:p>
      <w:pPr>
        <w:spacing w:after="0" w:line="112"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water, utility, environmental and other governmental policies and regulations, including regulatory actions concerning rates, authorized return on equity, authorized capital structures, capital expenditures, per- and polyfluoroalkyl substances (“PFAS”) and other decisions;</w:t>
      </w:r>
    </w:p>
    <w:p>
      <w:pPr>
        <w:spacing w:after="0" w:line="7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impacts of climate change;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4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similar occurrences;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w:t>
      </w:r>
    </w:p>
    <w:p>
      <w:pPr>
        <w:spacing w:after="0" w:line="157"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H2O America undertakes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H2O America, a Delaware corporation, was initially incorporated as SJW Corp. in the state of California in 1985. In May 2025, the company changed its corporate name from SJW Group to H2O America. We will not distinguish between our prior and current corporate name and will refer to our current corporate name throughout this Annual Report on Form 10-K. As such, unless expressly indicated or the context requires otherwise, the terms “H2O America,” “company,” “we,” “us,” and “our” in this document refer to H2O America, a Delaware corporation, and, where appropriate, its subsidiaries. H2O America is a holding company that conducts its business through the following wholly owned subsidiaries:</w:t>
      </w:r>
    </w:p>
    <w:p>
      <w:pPr>
        <w:spacing w:after="0" w:line="75" w:lineRule="exact"/>
        <w:rPr>
          <w:sz w:val="20"/>
          <w:szCs w:val="20"/>
          <w:color w:val="auto"/>
        </w:rPr>
      </w:pPr>
    </w:p>
    <w:p>
      <w:pPr>
        <w:ind w:left="1300" w:hanging="1049"/>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Jose Water Company (“SJWC”), with its headquarters located at 110 West Taylor Street in San Jose, California 95110, was originally incorporated under the laws of the State of California in 1866. As part of a reorganization in 1985, SJWC became a wholly owned subsidiary of H2O America. SJWC is a public utility in the business of providing water service in the metropolitan San Jose, California area.</w:t>
      </w:r>
    </w:p>
    <w:p>
      <w:pPr>
        <w:spacing w:after="0" w:line="71" w:lineRule="exact"/>
        <w:rPr>
          <w:rFonts w:ascii="Times New Roman" w:cs="Times New Roman" w:eastAsia="Times New Roman" w:hAnsi="Times New Roman"/>
          <w:sz w:val="18"/>
          <w:szCs w:val="18"/>
          <w:color w:val="auto"/>
        </w:rPr>
      </w:pPr>
    </w:p>
    <w:p>
      <w:pPr>
        <w:ind w:left="1300" w:right="100" w:hanging="1049"/>
        <w:spacing w:after="0" w:line="254" w:lineRule="auto"/>
        <w:tabs>
          <w:tab w:leader="none" w:pos="129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H2O America NE LLC (previously known as SJWNE LLC), a Delaware limited liability company, was formed in 2019, and is a wholly owned subsidiary of H2O America. H2O America NE LLC is a special purpose entity established to hold H2O America’s investment in Connecticut Water Service, Inc. Connecticut Water Service, Inc. with its headquarters located in Clinton, Connecticut, was incorporated in 1974 in the State of Connecticut. As part of the merger transaction between H2O America and Connecticut Water Service, Inc. in 2019, Connecticut Water Service, Inc. and its subsidiaries (“CTWS”) became a wholly owned subsidiary of H2O America NE LLC. Connecticut Water Service, Inc. is a holding company with four wholly owned subsidiaries. The Connecticut Water Company (“CWC”) and The Maine Water Company (“MWC”) are public utilities in the business of providing water service throughout Connecticut and Maine. The remaining two subsidiaries are Chester Realty, Inc., a real estate company in Connecticut, and New England Water Utility Services, Inc. (“NEWUS”), which provides contract water and sewer operations and other water-related services.</w:t>
      </w:r>
    </w:p>
    <w:p>
      <w:pPr>
        <w:spacing w:after="0" w:line="80" w:lineRule="exact"/>
        <w:rPr>
          <w:rFonts w:ascii="Times New Roman" w:cs="Times New Roman" w:eastAsia="Times New Roman" w:hAnsi="Times New Roman"/>
          <w:sz w:val="18"/>
          <w:szCs w:val="18"/>
          <w:b w:val="1"/>
          <w:bCs w:val="1"/>
          <w:color w:val="auto"/>
        </w:rPr>
      </w:pPr>
    </w:p>
    <w:p>
      <w:pPr>
        <w:ind w:left="1300" w:right="20" w:hanging="1049"/>
        <w:spacing w:after="0" w:line="254"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H2O America TX Holdings, Inc. (previously known as SJWTX Holdings, Inc.), a Texas corporation, formed in 2021, is the holding company for SJWTX, Inc., doing business as The Texas Water Company (“TWC”), Texas Water Operation Services, LLC (“TWOS”) and Texas Water Resources, LLC (“TWR”). TWC is a public utility in the business of providing water service in Bandera, Blanco, Comal, Hays, Kendall, Medina and Travis Counties in the growing region between San Antonio and Austin, Texas. TWC additionally provides wastewater service in Comal and Kendall counties. 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 TWOS was created for non-tariffed service operations and TWR was formed to hold wholesale water supply assets.</w:t>
      </w:r>
    </w:p>
    <w:p>
      <w:pPr>
        <w:spacing w:after="0" w:line="83" w:lineRule="exact"/>
        <w:rPr>
          <w:rFonts w:ascii="Times New Roman" w:cs="Times New Roman" w:eastAsia="Times New Roman" w:hAnsi="Times New Roman"/>
          <w:sz w:val="18"/>
          <w:szCs w:val="18"/>
          <w:color w:val="auto"/>
        </w:rPr>
      </w:pPr>
    </w:p>
    <w:p>
      <w:pPr>
        <w:ind w:left="1300" w:hanging="1049"/>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H2O America Land Company (previously known as SJW Land Company) was incorporated in 1985. H2O America Land Company owns undeveloped land in California.</w:t>
      </w:r>
    </w:p>
    <w:p>
      <w:pPr>
        <w:spacing w:after="0" w:line="53" w:lineRule="exact"/>
        <w:rPr>
          <w:rFonts w:ascii="Times New Roman" w:cs="Times New Roman" w:eastAsia="Times New Roman" w:hAnsi="Times New Roman"/>
          <w:sz w:val="18"/>
          <w:szCs w:val="18"/>
          <w:color w:val="auto"/>
        </w:rPr>
      </w:pPr>
    </w:p>
    <w:p>
      <w:pPr>
        <w:ind w:left="1300" w:right="120" w:hanging="1049"/>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Water Utility Services, LLC (“NWU”) is currently the contracting entity for shared services among the H2O America affiliates formed in 2024.</w:t>
      </w:r>
    </w:p>
    <w:p>
      <w:pPr>
        <w:spacing w:after="0" w:line="53" w:lineRule="exact"/>
        <w:rPr>
          <w:rFonts w:ascii="Times New Roman" w:cs="Times New Roman" w:eastAsia="Times New Roman" w:hAnsi="Times New Roman"/>
          <w:sz w:val="18"/>
          <w:szCs w:val="18"/>
          <w:color w:val="auto"/>
        </w:rPr>
      </w:pPr>
    </w:p>
    <w:p>
      <w:pPr>
        <w:jc w:val="both"/>
        <w:ind w:left="1300" w:right="140" w:hanging="1049"/>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H2O America Risk Solutions, Inc., is a captive insurance entity and wholly owned subsidiary of H2O America Inc., established in 2025 to manage certain insurance specific risks of the Company in addition to its use of traditional insurance products provided by its current insurance carriers.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Together, SJWC, excluding the City of Cupertino (“Cupertino”) service concession arrangement operations, CWC, MWC, TWC, and Acequia, are referred to as “Water Utility Services,” which is our single reportable segment.</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business activities that are not separately reportable segments are SJWC’s City of Cupertino service concession arrangement operations, property management and investment activity conducted by H2O America Land Company and Chester Realty, Inc., contract water and sewer operations and other water-related services provided by NEWUS and are collectively referred to as “Other Services.”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Quadvest acquisition</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July 7, 2025, H2O America, through its indirect subsidiary, TWC, entered into an Asset Purchase Agreement (the “Regulated Business APA”), with Quadvest, L.P., a Texas limited partnership, as seller (“Quadvest Retail”) and H2O America, as guarantor, pursuant to which, and subject to the terms and conditions set forth therein, Quadvest Retail has agreed to sell, and</w:t>
      </w: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TWC has agreed to acquire, substantially all of the assets of Quadvest Retail related to the operation of Quadvest Retail’s water and sewer utility business (the “Regulated Business”) at a purchase price consisting of a base amount of $483.6 million, with certain adjustments based on capital expenditures (the “Regulated Business Transaction”). The Regulated Business Transaction will be subject to the satisfaction of various closing conditions set forth in the Regulated Business APA, including satisfaction of the closing conditions with respect to the Wholesale Business Transaction described below.</w:t>
      </w:r>
    </w:p>
    <w:p>
      <w:pPr>
        <w:spacing w:after="0" w:line="5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Concurrently on July 7, 2025, H2O America, its indirect subsidiary, Texas Water Operation Services, LLC (“TWOS”) and TWC (together with H2O America and TWOS, the “Purchasers”), entered into another Asset Purchase Agreement (the “Wholesale Business APA” and together with the Regulated Business APA, the “Agreements”), with Quadvest Retail and its affiliate, Quadvest Wholesale, LLC, a Texas limited liability company (“Quadvest Wholesale” and together with Quadvest Retail, the “Sellers”), pursuant to which, and subject to the terms and conditions set forth therein, Quadvest Wholesale has agreed to sell, and TWOS has agreed to acquire substantially all of the assets of Quadvest Wholesale related to the operation of Quadvest Wholesale’s wholesale water and sewer business (the “Wholesale Business” and together with the Regulated Business, the “Businesses”) at a purchase price consisting of a base amount of $56.4 million, with certain adjustments based on capital expenditures (the “Wholesale Business Transaction”, and together with the Regulated Business Transaction, the “Transactions”). The Wholesale Business Transaction will be subject to the satisfaction of various closing conditions set forth in the Wholesale Business APA, including the simultaneous closing of the Regulated Business Transaction described above.</w:t>
      </w:r>
    </w:p>
    <w:p>
      <w:pPr>
        <w:spacing w:after="0" w:line="3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9, 2025, TWC filed a request with the Public Utility Commission of Texas (“PUCT”) to use Fair Market Value (“FMV”) to support its acquisition of Quadvest, L.P. On August 7, 2025, the PUCT appointed three appraisers to determine the FMV. In December 2025, TWC received the appraised FMV from the three PUCT appointed appraisers for the assets of Quadvest, L.P. In accordance with Texas’ FMV statute, the purchase price of $483.6 million will serve as the ratemaking rate base. TWC filed its Sale, Transfer &amp; Merger (“STM”) application with the PUCT in January 2026.</w:t>
      </w:r>
    </w:p>
    <w:p>
      <w:pPr>
        <w:spacing w:after="0" w:line="3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Regulation and Rates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Water Utility Services, excluding non-tariffed activities, are subject to rate regulation based on cost recovery and meets the criteria of accounting guidance for rate-regulated operations, which affects the timing of the recognition of certain revenues and expenses. H2O America’s consolidated financial statements reflect the actions of regulators in the ratemaking process. The ratemaking process is intended to provide revenues sufficient to recover normal operating expenses, provide funds for replacement of water infrastructure and produce a fair and reasonable return on stockholder common equity. H2O America’s regulated operations financing activities are designed to achieve capital structures consistent with regulatory guidelines in the locations where the companies operate. The following summarizes each state’s authorized rates and capital structure as of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Texas (a)</w:t>
            </w: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Maine (b)</w:t>
            </w:r>
          </w:p>
        </w:tc>
      </w:tr>
      <w:tr>
        <w:trPr>
          <w:trHeight w:val="23"/>
        </w:trPr>
        <w:tc>
          <w:tcPr>
            <w:tcW w:w="5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capital structure (debt/equity)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 / 55%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 / 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 / 58%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 / 51%</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return on equity (c)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rate base (in millions)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$1,308.0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$148.7</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rate base at year-end (in millions) (d)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$1,460.8</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$211.7</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$203.5</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by management.</w:t>
      </w:r>
    </w:p>
    <w:p>
      <w:pPr>
        <w:spacing w:after="0" w:line="11" w:lineRule="exact"/>
        <w:rPr>
          <w:rFonts w:ascii="Times New Roman" w:cs="Times New Roman" w:eastAsia="Times New Roman" w:hAnsi="Times New Roman"/>
          <w:sz w:val="14"/>
          <w:szCs w:val="14"/>
          <w:color w:val="auto"/>
        </w:rPr>
      </w:pPr>
    </w:p>
    <w:p>
      <w:pPr>
        <w:ind w:left="660" w:right="100" w:hanging="652"/>
        <w:spacing w:after="0" w:line="261"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structure and return on equity shown are those of the largest division of MWC, the Biddeford and Saco division. This return on equity and capital structure will be used for any future Water Infrastructure Surcharge (“WISC”) calculations for all divisions until the Maine Public Utilities Commission (“MPUC”) has authorized or approved a different return on equity structure in a different proceeding.</w:t>
      </w:r>
    </w:p>
    <w:p>
      <w:pPr>
        <w:spacing w:after="0" w:line="1" w:lineRule="exact"/>
        <w:rPr>
          <w:rFonts w:ascii="Times New Roman" w:cs="Times New Roman" w:eastAsia="Times New Roman" w:hAnsi="Times New Roman"/>
          <w:sz w:val="14"/>
          <w:szCs w:val="14"/>
          <w:color w:val="auto"/>
        </w:rPr>
      </w:pPr>
    </w:p>
    <w:p>
      <w:pPr>
        <w:ind w:left="660" w:right="360" w:hanging="652"/>
        <w:spacing w:after="0" w:line="251" w:lineRule="auto"/>
        <w:tabs>
          <w:tab w:leader="none" w:pos="6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California, the approved Water Cost of Capital Mechanism (“WCCM”)-adjusted return on equity is 10.01% less a 20-basis point reduction due to the reimplementation of the Water Conservation Memorandum Account (“WCMA”).</w:t>
      </w: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approximation of rate base which includes net utility plant not yet included in rate base pending rate case filings and outcomes.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California Regulatory Affairs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SJWC’s rates, service and other matters affecting its business are subject to regulation by the California Public Utilities Commission (the “CPUC”).</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Generally, there are three types of rate adjustments that affect SJWC’s revenue collection: general rate adjustments, cost of capital adjustments, and offset rate adjustments. From time to time, SJWC may file special rate applications for discrete projects, such as the Montevina Water Treatment Plant Upgrade and the Advanced Metering Infrastructure program as needed or directed by the CPUC. These special applications are separate from general rate case filings and are subject to their own rate recovery mechanisms. General rate adjustments are authorized in general rate case decisions, which usually authorize an initial</w:t>
      </w: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rate adjustment followed by two annual escalation adjustments. General rate applications are normally filed and processed during the last year covered by the most recent general rate case as required by the CPUC in order to avoid any gaps in regulatory decisions on general rate adjustments. Actual revenue received may be higher or lower than the revenue requirement due to a number of factors including actual customer counts, usage or other regulatory factors in force at the time.</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Cost of capital adjustments are rate adjustments resulting from the CPUC’s usual tri-annual establishment of a reasonable rate of return for SJWC’s capital investments.</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purpose of an offset rate adjustment is to compensate utilities for changes in specific pre-authorized offsettable capital investments or expenses, primarily for purchased water, groundwater extraction, purchased power, pensions, and group health insurance. Pursuant to the California Public Utilities Code, a balancing account must be maintained for each expense item for which such revenue offsets have been authorized. Memorandum accounts track revenue impacts due to catastrophic events, certain unforeseen water quality expenses related to new federal and state water quality standards, energy efficiency, water conservation during periods of mandated water restrictions, water tariffs and other approved activities or as directed by the CPUC. The purpose of balancing and memorandum accounts is to track the under-collection or over-collection associated with such expense changes and activities for future recovery or refund considerations. Carrying balances of the balancing and memo accounts earn a rate of return based on treasury rates.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29, 2023, the CPUC approved an authorized rate of return of 7.28% based on a return on equity of 8.80%, cost of debt of 5.46%, and a capital structure of approximately 45% debt and 55% equity. The CPUC also authorized continuation of the WCCM in the same decision. The WCCM provided for an adjustment to SJWC’s return on equity and cost of debt if the average Moody’s Aa utility bond index rate between October 1, 2021 and September 30, 2022 varies by more than 100 basis points when compared to the same period from the prior year. The index rate difference between those periods increased 103 basis points, thereby triggering the WCCM. Accordingly, on June 30, 2023, SJWC filed Advice Letter No. 598 to inform the CPUC that the authorized rate of return required an update in accordance with the WCCM. On July 31, 2023, SJWC filed Advice Letter 599 to adjust the return on equity to 9.31% and the cost of debt to 5.26%, resulting in a rate of return of 7.47% for the remainder of 2023. Advice Letter No. 599 was approved with an effective date of July 31, 2023. On October 13, 2023, SJWC filed Advice Letter No. 601 to inform the CPUC that the authorized WCCM required an update to SJWC’s authorized rate of return, effective January 1, 2024, based on the change to the Moody’s Aa utility bond index rate between October 1, 2022, and September 30, 2023. SJWC requested an adjusted return on equity of 10.01%, a cost of debt of 5.28%, and a resulting authorized rate of return of 7.86%. The request was approved with an effective date of January 1, 2024, Separate from the filing, the return on equity was further adjusted by a 20-basis point reduction for reimplementation of the WCMA resulting in an overall rate of return of 7.75%.</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15, 2023, SJWC, along with three other California water utilities, filed a joint request for a one-year deferment on the cost of capital filings which would otherwise be due on May 1, 2024. Postponing the filing a year alleviated administrative processing costs on the utilities as well as the CPUC staff and provided relief for both CPUC and utility resources already strained by numerous other proceedings. The request was conditioned on leaving the current WCCM in place such that any adjustments would be made to the respective utilities cost of capital during the one-year deferment based on the mechanism. The request was approved on February 2, 2024. Based on the change in the average Moody’s Aa utility bond index rate between the 12 months ended September 30, 2023 and September 30, 2024, there was no adjustment to SJWC’s cost of capital for 2025.</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January 2, 2024, SJWC filed a general rate case application with the CPUC to increase rates charged for water service by $55.2 million or 11.11% in 2025, by $22 million or 3.99% in 2026, and by $25.8 million or 4.49% in 2027. The application proposed a $540 million three-year capital budget and also included requests to recover $23.5 million from balancing and memorandum accounts, further alignment between actual and authorized usage, and a shift to greater revenue collection in the service charge. On December 19, 2024, the CPUC approved a final decision for rate increases of $21.3 million or 3.91% in 2025, $14.4 million or 2.55% in 2026, and $17.4 million or 2.98% in 2027. The decision also provides a three-year capital budget of $450 million and recovery of $15.8 million in memorandum and balancing accounts.</w:t>
      </w:r>
    </w:p>
    <w:p>
      <w:pPr>
        <w:spacing w:after="0" w:line="7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May 16, 2024, SJWC filed Advice Letter No. 609 to increase the authorized revenue requirement by $28.3 million, or 5.3%, to offset the increases to purchased potable water charges, the groundwater extraction fee, and purchased recycled water charges from its water wholesalers effective July 1, 2024. Advice Letter No. 609 was approved with an effective date of July 1, 2024.</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May 23, 2024, SJWC filed Advice Letter No. 610/610A to increase the authorized revenue requirement by $0.8 million, or 0.14%, to recover revenue related to the plant additions for the Advanced Metering Infrastructure project. Advice Letter No. 610/610A was approved with an effective date of July 1, 2024.</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9, 2024, SJWC filed Application No. 24-12-004 with the CPUC requesting authorization to issue and sell additional debt securities in an aggregate principle amount not exceeding $400 million to fund the retirement of all or a portion of SJWC’s then-outstanding short-term bank loans, and the balance, if any, for any or all purposes as may be allowed under</w:t>
      </w: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Section 817 of the Public Utilities Code, including water utility plant construction, completion, replacement, extension or improvements of its existing facilities; acquisition of property and/or water systems; and reimbursement of moneys previously expended from income for which SJWC’s treasury has not been reimbursed. This application is pending before the CPUC.</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December 18, 2024, SJWC, along with three other California water utilities, filed a joint request for a second one-year deferment on the cost of capital filings which would otherwise be due on May 1, 2025. The request was conditioned on leaving the current WCCM in place such that any adjustments will be made to the respective utilities cost of capital during the one-year deferment based on the mechanism. The request was approved on January 14, 2025.</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December 20, 2024, SJWC filed Advice Letter No. 613 to increase authorized revenue requirement by $21.3 million, or 3.91%, and implement new water rates and recover $15.8 million in memorandum and balancing accounts in accordance with Decision No. 24-12-077. This filing was approved with an effective date of January 1, 2025.</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May 27, 2025, SJWC filed Advice Letter No. 616 to increase the authorized revenue requirement by $22.5 million, or 4.00%, to offset the increases to purchased potable water charges, the groundwater extraction fee, and purchased recycled water charges from its water wholesalers effective July 1, 2025. Advice Letter No. 616 was approved with an effective date of July 1, 2025.</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28, 2025, SJWC filed Advice Letter No. 617 to increase the authorized revenue requirement by $6.8 million, or 1.16%, to recover revenue related to the plant additions for the Advanced Metering Infrastructure (“AMI”) project. Advice Letter No. 617 was approved with an effective date of July 1, 2025.</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24, 2025, SJWC filed Advice Letter No. 618 to establish the Water Contamination Litigation Memorandum Account (“WCLMA”) to track net proceeds and costs resulting from water contamination litigation. Advice Letter No. 618 was approved in July 2025 by the CPUC with an effective date of June 24, 2025.</w:t>
      </w:r>
    </w:p>
    <w:p>
      <w:pPr>
        <w:spacing w:after="0" w:line="6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October 15, 2025, SJWC filed Advice Letter No. 620 to re-establish the Ground Water Regulation Legal Expense Memorandum Account to track litigation and consensus building legal and related legal expenses associated with SJWC’s water rights. Advice Letter No. 620 was approved with an effective date of November 14, 2025.</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10, 2025, SJWC, along with three other California water utilities, filed a joint request for a third one-year deferment on the cost of capital filings which would otherwise be due on May 1, 2026. The request was conditioned on leaving the current WCCM in place such that any adjustments will be made to the respective utilities cost of capital during the one-year deferment based on the mechanism. The request was approved on November 18, 2025.</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20, 2025, SJWC filed Advice Letter No. 621 to increase the authorized revenue requirement by $17.2 million, or 2.89%. This filing was superseded by Advice Letter No. 621A, filed on December 5, 2025, to update changes to certain rate schedules. Advice Letter No. 621A was approved with an effective date of January 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Regulatory Affairs</w:t>
      </w:r>
    </w:p>
    <w:p>
      <w:pPr>
        <w:spacing w:after="0" w:line="11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CWC’s rates, service and other matters affecting its business are subject to regulation by the Public Utilities Regulatory Authority of Connecticut (“PURA”).</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PURA allows the Connecticut regulated operations to add surcharges to customers’ bills in order to recover certain costs associated with approved eligible capital projects through the Water Infrastructure Conservation Adjustment (“WICA”) in between full rate cases, as well as approved surcharges or sur-credits for the Water Revenue Adjustment (“WRA”).</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26, 2024, CWC filed its 2023 WICA reconciliation with PURA. The reconciliation, approved by PURA on March 27, 2024 and effective for 12 months beginning April 1, 2024, replaced the expiring 2022 reconciliation credit of 0.16% with a credit of 0.13%. The cumulative WICA surcharge as of April 1, 2024 was 7.41%, collecting $7.8 million on an annual basis. In connection with CWC’s most recent general rate case decision, as of July 1, 2024, the base WICA surcharge was reset to zero; however, the credit of 0.13% for 2023 reconciliation continued to apply into 2025.</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28, 2024, CWC filed its 2023 WRA. The mechanism reconciles 2023 revenues as authorized in CWC’s most recent rate case. The 2023 WRA, as approved by PURA on March 11, 2024 and effective for 12 months beginning on April 1, 2024, imposed a 2.11% sur-credit on customer bills to refund the 2023 revenues over-collection.</w:t>
      </w:r>
    </w:p>
    <w:p>
      <w:pPr>
        <w:spacing w:after="0" w:line="6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June 21, 2024, CWC submitted an application to PURA for the approval to issue unsecured notes in an amount of up to $150.0 million. PURA approved the application on August 14, 2024.</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July 26, 2024, CWC filed for a WICA increase of $4.3 million in annualized revenue for $41.9 million in completed infrastructure projects. PURA approved the application, and effective October 1, 2024, the cumulative WICA surcharge is 3.43%.</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January 28, 2025, CWC filed its 2024 WICA reconciliation with PURA. The reconciliation is effective for 12 months beginning April 1, 2025, replacing the expiring 2023 reconciliation credit of $0.1 million with a credit of $2.4 million on an</w:t>
      </w:r>
    </w:p>
    <w:p>
      <w:pPr>
        <w:spacing w:after="0" w:line="200" w:lineRule="exact"/>
        <w:rPr>
          <w:sz w:val="20"/>
          <w:szCs w:val="20"/>
          <w:color w:val="auto"/>
        </w:rPr>
      </w:pPr>
    </w:p>
    <w:p>
      <w:pPr>
        <w:spacing w:after="0" w:line="29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annual basis. On January 28, 2025, CWC filed for a WICA increase of $1.6 million in annualized revenues for $15.7 million in completed projects. On March 26, 2025, PURA approved the filing in its entirety. The cumulative WICA surcharge as of April 1, 2025, was 4.90%, collecting $6.0 million on an annual basis.</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February 24, 2025, CWC filed its 2024 Water Rate Adjustment (“WRA”) mechanism. The mechanism reconciles 2024 revenues as authorized in the CWC’s most recent rate case as well as provides for recovery of certain amounts of executive compensation as the result of the achievement of performance metrics as prescribed by PURA. The 2024 WRA surcharge of 3.62%, approved by PURA on March 26, 2025, is effective for 12 months beginning April 1, 2025.</w:t>
      </w:r>
    </w:p>
    <w:p>
      <w:pPr>
        <w:spacing w:after="0" w:line="7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On March 6, 2025, CWC submitted an application requesting that PURA approve the issuance of $19.4 million in Drinking Water State Revolving Fund Loans that the Company proposes to use to fund three projects pertaining to: (1) the interconnection of the Green Springs Water System in Madison, Connecticut with the Guilford Water System; (2) a facility for centralized treatment of raw water from certain wells in CWC’s Gallup System in Plainfield, Connecticut; and (3) a Lead Service Line Identification Program. A decision was received from PURA on April 30, 2025, approving CWC’s request.</w:t>
      </w:r>
    </w:p>
    <w:p>
      <w:pPr>
        <w:spacing w:after="0" w:line="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June 4, 2025, the Connecticut General Assembly approved Public Act No. 25-142, An Act Concerning Water Utility Systems and Water Quality and Treatment Surcharges. The Act, signed by the Governor on July 1, 2025, allows CWC to surcharge customers for investments related to emerging contaminants, primarily PFAS. In accordance with the legislation, CWC submitted its Water Quality and Treatment Adjustment (“WQTA”) Assessment Report (“AR”) on July 2, 2025. A decision was received from PURA on December 17, 2025, approving CWC’s AR.</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July 30, 2025, CWC filed for a WICA increase of $3.1 million in annualized revenue for $24.3 million in completed projects. On September 24, 2025, PURA approved the filing in its entirety. The cumulative WICA surcharge as of October 1, 2025 is 7.47%, collecting $9.1 million on an annual basis.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22, 2026, CWC submitted its WQTA application to recover the costs associated with in-progress or completed WQTA-eligible projects through a WQTA surcharge of $0.6 million, or 0.53%. Also included in this filing was a revised WQTA AR reflecting a comprehensive view of the status of all projects featuring updated project eligibilities, costs and water quality sampling results. If approved by PURA, the proposed WQTA charge will become effective April 1, 2026.</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26, 2026, CWC filed its 2025 WICA reconciliation with PURA for a surcharge of $0.3 million on an annual basis. The reconciliation, if approved, would be effective for 12 months beginning April 1, 2026. In addition, on January 26, 2026, CWC filed for a WICA increase of $2.7 million in annualized revenues for $25.7 million in completed projects. If approved, the cumulative WICA surcharge as of April 1, 2026, will be 9.90%, collecting $12.1 million on an annual basis.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25, 2026, CWC filed its 2025 WRA mechanism. The mechanism reconciles 2025 revenues as authorized in the CWC’s most recent rate case as well as provides for recovery of certain amounts of executive compensation as the result of the achievement of performance metrics as prescribed by PURA. If approved, the 2026 WRA surcharges of 5.70% will become effective for 12 months beginning April 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Regulatory Affairs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TWC’s rates are subject to the economic regulation of the PUCT. The PUCT may authorize rate increases after the filing of an Application for a Rate/Tariff Change. Rate cases may be filed as they become necessary, provided there is no current rate case outstanding. Furthermore, rate cases may not be filed more frequently than once every 12 months.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TWC has no current general rate case pending. However, TWC continues to amend its existing System Improvement Charge (SIC) for both water and sewer. SIC filings are used to include certain utility plant additions made from 2020 to present in its rate base, thereby increasing revenue and avoiding the immediate need for a general rate case. On September 12, 2024, TWC filed its application to amend its original SIC with the PUCT. Its amended SIC applies to all customers and increases its annual water revenue by $3.9 million and its annual sewer revenue by $0.2 million, in addition to the original SIC filed with the PUCT on December 30, 2022. On May 15, 2025, the PUCT filed the final order approving TWC’s amended SIC application. On October 6, 2025, TWC filed its second application to amend its SIC. The application seeks to increase TWC annual water revenue by $4.7 million and sewer revenue by $0.3 million, in addition to its amended approved SIC rates. TWC’s second application to amend its SIC was deemed administratively complete on December 15, 2025, and is expected to be approved mid-2026. Additionally, TWC is required to file a general rate case on or before March 21, 2028. Notwithstanding any SIC filing, TWC will continue to file its annual adjustments for the Water Pass-through Charges (“WPC”) for Canyon Lake, Deer Creek, Kendall West, Clear Water Estates, and Saddleridge customers. All water supply cost increases are recoverable when the next annual WPC adjustment for each system is filed.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Regulatory Affairs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MWC’s rates, service and other matters affecting its business are subject to regulation by the MPUC. MPUC allows MWC to add surcharges to customers’ bills in order to recover certain costs associated with capital projects through the WISC in</w:t>
      </w:r>
    </w:p>
    <w:p>
      <w:pPr>
        <w:spacing w:after="0" w:line="200" w:lineRule="exact"/>
        <w:rPr>
          <w:sz w:val="20"/>
          <w:szCs w:val="20"/>
          <w:color w:val="auto"/>
        </w:rPr>
      </w:pPr>
    </w:p>
    <w:p>
      <w:pPr>
        <w:spacing w:after="0" w:line="29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between general rate cases. Projects eligible for WISC surcharges include all infrastructure replacement or repair projects, excluding meters, that are necessary for the transmission, distribution or treatment of water.</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31, 2023, MWC filed the third and final step of its multi-year rate case for the Biddeford Saco division related to the Saco Drinking Water Resource Center. The filing sought a $2.9 million, or 19.9%, increase in revenue requirement, proposed to be phased in over two years with a 12% increase effective July 1, 2023 followed by a 9% increase effective July 1, 2024, with a slight decrease in year three to reach the overall 19.9% requested. On August 5, 2023 the MPUC issued an order granting a temporary rate increase of $1.5 million or 10% while the case and the company’s full request were litigated. The company reached a settlement agreement with MPUC and the Office of the Public Advocate and filed a stipulated settlement agreement with the MPUC on December 22, 2023. The commission approved the stipulation on January 5, 2024, with a rate effective date of January 1, 2024. The approved stipulation authorized an increase in rates of $2.6 million or 17.6%. The Biddeford and Saco division’s increase in rates was based on an authorized return on equity of 9.5% along with a capital structure of 49% debt and 51% equity. This return on equity and capital structure are used for any future WISC calculations for all divisions until the MPUC has authorized or approved a different return on equity structure in a different proceeding.</w:t>
      </w:r>
    </w:p>
    <w:p>
      <w:pPr>
        <w:spacing w:after="0" w:line="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MPUC issued orders approving surcharges for the Camden-Rockland, Freeport, Oakland and Millinocket divisions that in aggregate represent annual revenue increases of $0.3 million.</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October 25, 2024, MWC filed an application with MPUC to adjust customer rates in the Camden Rockland division. The proposal requested an increase in annual revenues of approximately $1.1 million, or 15.9%, over then-current authorized revenues. On June 27, 2025, the MPUC approved a settlement stipulation, authorizing an increase in rate of $0.87 million, or 13.0% with an effective date of July 1, 2025.</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31, 2024, MWC filed a request to establish a unified tariff across its ten separate rate divisions. On January 13, 2026, the MPUC approved a stipulated agreement consolidating those ten districts into a single unified rate structure, effective February 1, 2026. The agreement also includes authorization for a needs-based financial assistance program consistent with Legislative Document 241, An Act to Authorize the Public Utilities Commission to Approve Rate Adjustments for Low-Income Water Utility Ratepayers, approved by the Maine Legislature and signed into law by the Governor on May 29,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15, 2025, MWC filed a WISC in both the Oakland and Biddeford Saco divisions. The combined requested surcharge is 3.00% or $0.5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MPUC issued an order approving the surcharges on June 24, 2025, with an effective date of July 1, 2025.</w:t>
      </w:r>
    </w:p>
    <w:p>
      <w:pPr>
        <w:spacing w:after="0" w:line="9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30, 2026, MWC issued a Notice of Intent to file a general rate case with the MPUC on or about March 31,2026. The filing will be the first general rate case since the MPUC’s approval of MWC’s unified rate schedule. MWC’s proposed revenue requirement will be based on a test year ending December 31, 2025, and adjusted for known and measurable changes and other ratemaking considerations. MWC expects to propose an annual revenue increase of approximately $12 million.</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“Risk Factors,”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“Management’s Discussion and Analysis of Financial Condition and Results of Operations,” and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of “Notes to Consolidated Financial Statements.”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principal business of H2O America consists of the production, purchase, storage, purification, distribution, wholesale and retail sale of water and wastewater services. SJWC provides water services to approximately 232,000 connections that serve approximately one million people over 140 square miles residing in portions of the cities of San Jose and Cupertino and in the cities of Campbell, Monte Sereno, Saratoga and in the Town of Los Gatos, and adjacent unincorporated territories, all in the County of Santa Clara in the State of California. The CTWS companies provide water service to approximately 143,000 service connections that serve a population of approximately 465,000 people in 81 municipalities with a service area of approximately 275 square miles throughout Connecticut and Maine and approximately 3,000 wastewater connections in Southbury, Connecticut. TWC provides water service to approximately 30,000 service connections that serve approximately 90,000 people in a service area comprising more than 271 square miles in the region between San Antonio and Austin, Texas and approximately 1,000 wastewater connections. Together, the Water Utility Services distribute water to customers in their respective service areas in accordance with accepted water utility methods. Water Utility Services also provide non-tariffed services under agreements with municipalities and other utilities. These non-tariffed services include water system operations, maintenance agreements and antenna site leases.</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SJWC operates the Cupertino municipal water system under a service concession arrangement. The system is adjacent to the SJWC service area and has approximately 4,700 service connections. The original agreement commenced in October 1997 and expired on September 30, 2024. Effective October 2024, SJWC entered into a 12-year agreement with Cupertino subject to an additional term of eight years if agreed to by the parties. SJWC paid an upfront concession fee of $22.1 million in 2024 and agreed to pay, beginning in 2024, an annual investment rent of $1.8 million, subject to adjustment each year based on a</w:t>
      </w: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specified construction cost index. Under the terms of the agreement, SJWC assumes responsibility for all maintenance and operating costs of the system, while receiving all payments for water service.</w:t>
      </w:r>
    </w:p>
    <w:p>
      <w:pPr>
        <w:spacing w:after="0" w:line="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CTWS provides contracted services to water utilities, as well as offers Linebacker® protection plans for public drinking water customers in the states of Connecticut and Maine. Linebacker plans cover a limited amount of the cost of repairs to water and wastewater service lines and in-home plumbing. Services provided are dependent on the selected plan.</w:t>
      </w:r>
    </w:p>
    <w:p>
      <w:pPr>
        <w:spacing w:after="0" w:line="108"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H2O America Land Company owns undeveloped real estate property in California. H2O America Land Company previously owned commercial and warehouse properties in Tennessee, which were sold in 2024. Chester Realty, Inc. owns commercial properties and parcels of land in Connecticut.</w:t>
      </w:r>
    </w:p>
    <w:p>
      <w:pPr>
        <w:spacing w:after="0" w:line="7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Among other things, operating results from the water business fluctuate according to the demand for water, which is often influenced by seasonal conditions, such as impact of drought, summer temperatures or the amount and timing of precipitation in Water Utility Services’ service areas. Revenue, production expenses and income are affected by changes in water sales and the sources of water supply. Overhead costs, such as payroll and benefits, depreciation, interest on long-term debt, and property taxes are not significantly impacted by seasonality or water supply mix. Generally, earnings are highest in the higher demand, warm summer months and lowest in the lower demand, cool winter months. Certain regulatory mechanisms in our service areas may mitigate the effects of demand fluctuations and/or variations in water supply costs on our operating results.</w:t>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Supply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California Water Supply</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SJWC’s water supply consists of groundwater from wells, surface water from watershed run-off and diversion, reclaimed water, and imported water purchased from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extraction, and purchased power expenses are tracked in SJWC’s Full Cost Balancing Account (“FCBA”) authorized by the CPUC for cost recovery limiting the impact on operating expenses in the current period.</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pumps and motors at SJWC’s groundwater production facilities are propelled by electric power. SJWC has installed standby power generators at 39 of its strategic water production sites and manages a fleet of 21 portable generators deployed throughout the distribution system for power outages at remaining pumping facilities. In addition, the commercial office and operations control centers are outfitted with standby power equipment that allow critical distribution and customer service operations to continue during a power outage. Valley Water has informed SJWC that its filter plants, which deliver purchased water to SJWC, are also equipped with standby generators. In the event of a power outage, SJWC believes it will be able to prevent an interruption of service to customers for a limited period by pumping water using generator power and by using purchased water from Valley Water.</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2025, the level of water in the Santa Clara Valley groundwater basin, which is managed by Valley Water, experienced a decrease in most areas due to a decrease in managed recharge operations, a decline in natural recharge associated with less rainfall compared to 2024, and an increase in groundwater pumping. As reported by Valley Water at the end of 2025, the groundwater level in the Santa Clara Plain was six feet lower compared to the same time in 2024. The total groundwater storage at the end of 2025 was within Stage 1 (Normal) of the Valley Water’s Water Shortage Contingency Plan. On January 1, 2026, Valley Water’s 10 reservoirs were 49% of restricted capacity with 10.1 billion gallons of water in storage. As of December 31, 2025, SJWC’s Lake Elsman was 62.5% of capacity with 1.3 billion gallons of water, approximately 141.3% of the five-year seasonal average. In addition, the rainfall at SJWC’s Lake Elsman was measured at 22.12 inches for the period from July 1, 2025 through December 31, 2025, which is 116.6% of the five-year average. SJWC’s Montevina Water Treatment Plant treated 2.3 billion gallons of water in 2025, which is 104.7% of the five-year average. SJWC’s Saratoga Water Treatment Plant treated 40 million gallons of water in 2025. SJWC believes that its various sources of water supply will be sufficient to meet customer demand in 2026.</w:t>
      </w:r>
    </w:p>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California faces long-term water supply challenges. SJWC actively works with Valley Water to meet the challenges by continuing to educate customers on responsible water use practices and conducting long-range water supply planning. Valley Water's 15% voluntary call for conservation and certain watering and water waste rules established in 2023, are still in place for 2026. The call for continued conservation is due to a major storage reservoir currently offline for seismic retrofits.</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Water Supply</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CWC’s water sources vary among the individual systems, but overall, approximately 60% of the total dependable yield comes from surface water supplies and 40% from wells. In addition, CWC has water supply agreements to supplement its water supply with the South Central Connecticut Regional Water Authority (“RWA”) and The Metropolitan District (“MDC”) that expire in 2058 and 2053, respectively. CWC believes that it will be able to meet customer demand for 2026 with its existing water supply which consists of groundwater from wells, surface water in reservoirs and purchased water treated by neighboring water utilities.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Water Supply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TWC’s water supply consists of groundwater from wells and purchased treated and raw water from local water agencies. TWC has long-term agreements with the Guadalupe-Blanco River Authority (“GBRA”), which expire in 2037, 2040, 2044 and 2050. The agreements, which are take-or-pay contracts, provide TWC with an aggregate of 7,602 acre-feet of water per year from Canyon Lake at prices that may be adjusted periodically by GBRA. TWC also has treated water supply agreements with the Lower Colorado River Authority (“LCRA”) and West Travis County Public Utility Agency (“WTCPUA”)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TWC expects to meet customer demand for 2026 with TWC’s water supply which consists of groundwater from wells, surface water and purchased treated and raw water from the GBRA, based on current conditions.</w:t>
      </w:r>
    </w:p>
    <w:p>
      <w:pPr>
        <w:spacing w:after="0" w:line="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August 2023, H2O America TX Holdings Inc.’s unregulated subsidiary, TWR, acquired eight wells and the associated water rights of KT Water Resources LLC (“KTR”). During the third quarter of 2024, TWC purchased these assets from TWR for use in utility operations. Accordingly, H2O America reclassified $28.4 million related to indefinite-lived water rights from other intangible assets to utility plant intangible assets and $11.7 million from nonutility property to utility plant. These wells have been projected to yield an additional 6,000 acre-feet per year or more. Development of the KT Water System remains ongoing.</w:t>
      </w:r>
    </w:p>
    <w:p>
      <w:pPr>
        <w:spacing w:after="0" w:line="75"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 xml:space="preserve">The Texas service area is currently experiencing drought conditions </w:t>
      </w:r>
      <w:r>
        <w:rPr>
          <w:rFonts w:ascii="Times New Roman" w:cs="Times New Roman" w:eastAsia="Times New Roman" w:hAnsi="Times New Roman"/>
          <w:sz w:val="17"/>
          <w:szCs w:val="17"/>
          <w:color w:val="212121"/>
        </w:rPr>
        <w:t>that result in water usage restrictions for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Significant future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investment of transmission main and storage facilities in addition to developing additional supply sources is planned for 2026 and beyond.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Water Supply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 MWC believes that it will be able to meet customer demand for 2026 with its existing water supply which consists of groundwater from wells, surface water in reservoirs and purchased water treated by neighboring water utilities.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MWC relies on legislatively granted water rights in order to serve customers. In some instances, these rights were granted to predecessor water companies specially chartered by the Maine legislature many decades ago, with those entities later having been merged into MWC. The legislation incorporating these predecessor water companies did not address whether chartered rights may be transferred to another entity without special legislative action. The Maine Business Corporation Act generally provides that property and contract rights of a merged corporation are vested in the surviving corporation without reversion or impairment. In the MPUC proceedings that approved the mergers of these MWC predecessor companies, the survivorship of water rights was not contested.</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Please also see further discussion under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“Management’s Discussion and Analysis of Financial Condition and Results of Operations.”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Franchises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Franchises granted by local jurisdictions permit Water Utility Services to construct, maintain, and operate water distribution systems within the streets and other public properties of a given jurisdiction.</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SJWC holds the necessary franchises to provide water in portions of the cities of San Jose and Cupertino and in the cities of Campbell, Monte Sereno and Saratoga, the Town of Los Gatos and the unincorporated areas of Santa Clara County. None of the franchises have a termination date, other than the franchise for the unincorporated areas of Santa Clara County, which terminates in 2035.</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CWC’s utility services hold the necessary franchises to provide water in portions of the towns of Ashford, Avon, Beacon Falls, Bethany, Bolton, Brooklyn, Burlington, Canton, Chester, Clinton, Colchester, Columbia, Coventry, Deep River, Durham, East Granby, East Haddam, East Hampton, East Windsor, Ellington, Enfield, Essex, Farmington, Griswold, Guilford, Haddam, Hebron, Killingly, Killingworth, Lebanon, Madison, Manchester, Mansfield, Marlborough, Middlebury, Naugatuck, Old Lyme, Old Saybrook, Oxford, Plainfield, Plymouth, Portland, Prospect, Simsbury, Somers, Southbury, South Windsor, Stafford,</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Stonington, Suffield, Thomaston, Thompson, Tolland, Vernon, Voluntown, Waterbury, Westbrook, Willington, Windsor Locks and Woodstock. Additionally, the Heritage Village Water division serves the Town of Southbury with wastewater services. None of the franchises of the CWC utility services have a termination date.</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MWC holds franchises necessary to provide water services in the towns served which are Biddeford, Saco, Old Orchard Beach, Scarborough (Pine Point), Porter, Parsonsfield, Hiram, Freeport, Camden, Rockland, Rockport, Owls Head, Union, Thomaston, Warren, Bucksport, Skowhegan, Oakland, Hartland, Millinocket and Greenville. None of the franchises with MWC have a termination date.</w:t>
      </w:r>
    </w:p>
    <w:p>
      <w:pPr>
        <w:spacing w:after="0" w:line="6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TWC holds the franchises necessary to provide water and wastewater services to the City of Bulverde and the City of Spring Branch, which terminate in 2029 and 2036, respectively. The unincorporated areas that TWC serves in Comal, Blanco, Bandera, Hays, Kendall, Medina and Travis Counties do not require water service providers to obtain franchises.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regulated operations of Water Utility Services are public utilities regulated by applicable state public utility commissions and operate within service areas approved by such regulators. Statutory laws provide that no other investor-owned public utility may operate in the service area of another public utility of the same class (e.g., another water utility) without first obtaining from the regulator a certificate of public convenience and necessity or similar authorization. Experience shows such a certificate will be issued only after demonstrating that service in such area is inadequate.</w:t>
      </w:r>
    </w:p>
    <w:p>
      <w:pPr>
        <w:spacing w:after="0" w:line="7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laws of the states in which Water Utility Services provide regulated services generally provide that municipalities, water districts, and/or other public agencies of state governments (each, a “Public Agency”) are authorized to engage in the ownership and operation of water systems. Such Public Agencies are empowered, under certain circumstances, to condemn properties, and/or exercise the right of eminent domain on property operated by privately owned public utilities, upon payment of just compensation. Furthermore, under California law, Public Agencies are authorized to issue bonds (including revenue bonds) for the purpose of acquiring or constructing water systems.</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Under Connecticut law, any condemnation of water utility property by a Public Agency requires the approval of the PURA and under current Texas case law, a Public Agency may not exercise that right of eminent domain to take the entire operation of an investor-owned utility.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company’s knowledge, no Public Agency has any pending proceeding to condemn any part of its existing water systems, nor to exercise any eminent domain proceeding to take any of its property or operations.</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Water Utility Services produces potable water and generates wastewater and hazardous wastes in accordance with all applicable county, state and federal environmental rules and regulations. Additionally, public utilities are subject to environmental regulation by various other state and local governmental authorities.</w:t>
      </w:r>
    </w:p>
    <w:p>
      <w:pPr>
        <w:spacing w:after="0" w:line="270" w:lineRule="exact"/>
        <w:rPr>
          <w:sz w:val="20"/>
          <w:szCs w:val="20"/>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Water Utility Services is in compliance in all material respects with applicable standards under the federal SDWA, including EPA surface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water treatment performance standards, Stage 2 Disinfectants and Disinfection Byproducts Rule (“DBPR”) requirements, and primary maximum contaminant levels (“MCLs”). These standards have been adopted and are enforced by the applicable state water, public health and environmental agencies.</w:t>
      </w:r>
    </w:p>
    <w:p>
      <w:pPr>
        <w:spacing w:after="0" w:line="2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Other state and local environmental regulations apply to our Water Utility Services’ operations and facilities. These regulations relate primarily to the handling, storage and disposal of hazardous materials and discharges to the environment, including wastewater operations in the States of Connecticut and Texas. In 2016, SJWC began performing hazardous materials site assessments and remediation prior to the construction phase of capital projects. The site assessments are performed to identify any legacy materials and determine the need for remediation, which is then completed to obtain site closures from the Santa Clara County Department of Environmental Health under its Voluntary Cleanup Program.</w:t>
      </w:r>
    </w:p>
    <w:p>
      <w:pPr>
        <w:spacing w:after="0" w:line="6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April 2024, the EPA issued new national primary drinking water regulations for six PFAS. The regulations impose maximum contaminant levels and monitoring requirements for the nation’s water systems for six PFAS chemicals under the SDWA. The final regulation requires water systems to comply with PFAS monitoring and reporting requirements by 2027, and to comply with the maximum contaminant levels by 2029. H2O America estimates aggregate capital expenditures of approximately $400 million for PFAS treatment based on finalized maximum contaminant levels.</w:t>
      </w:r>
    </w:p>
    <w:p>
      <w:pPr>
        <w:spacing w:after="0" w:line="72" w:lineRule="exact"/>
        <w:rPr>
          <w:sz w:val="20"/>
          <w:szCs w:val="20"/>
          <w:color w:val="auto"/>
        </w:rPr>
      </w:pPr>
    </w:p>
    <w:p>
      <w:pPr>
        <w:ind w:right="660"/>
        <w:spacing w:after="0" w:line="407" w:lineRule="auto"/>
        <w:rPr>
          <w:sz w:val="20"/>
          <w:szCs w:val="20"/>
          <w:color w:val="auto"/>
        </w:rPr>
      </w:pPr>
      <w:r>
        <w:rPr>
          <w:rFonts w:ascii="Times New Roman" w:cs="Times New Roman" w:eastAsia="Times New Roman" w:hAnsi="Times New Roman"/>
          <w:sz w:val="18"/>
          <w:szCs w:val="18"/>
          <w:color w:val="auto"/>
        </w:rPr>
        <w:t xml:space="preserve">Water Utility Services is currently in compliance with all state and local public health and environmental regulations applicable to their operations. Please also see Part II,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“Management’s Discussion and Analysis of Financial Condition and Results of Operations.”</w:t>
      </w:r>
    </w:p>
    <w:p>
      <w:pPr>
        <w:spacing w:after="0" w:line="3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continue to achieve H2O America’s mission of providing high-quality water and exceptional service while investing in the health and vitality of the communities we serve, we are committed to attract, retain and develop the highest quality talent. We believe our employees are our most important asset. Throughout our organization, our employees embrace the company’s values of do it right, do it together, and do it with heart in everything we do. Employees participate in employee engagement and satisfaction surveys providing feedback that enables the company to continually assess and implement initiatives to enhance employee satisfaction and retention. Through our board and its committees, we are empowered to address factors that impact our employee strategy and drive positive change in our company and our communities. Our human capital measures and objectives focus on providing a safe and productive work environment that has clear positive and ethical values; a culture that encourages high performance, respect for each other, and celebrates diversity; jobs that offer fair wages as benchmarked to the markets that we live and work in; competitive wages and benefits; and training and development opportunities that support our employees to establish and succeed in meaningful careers at H2O America.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Workforce Data</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December 31, 2025, H2O America had 837 full-time employees, of whom 396 were SJWC employees, 248 were CWC employees, 109 were TWC employees, and 84 were MWC employees. At SJWC, 242 employees are members of unions. Employees working for CWC, MWC and TWC are not represented by unions.</w:t>
      </w:r>
    </w:p>
    <w:p>
      <w:pPr>
        <w:spacing w:after="0" w:line="2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final quarter of 2025, SJWC executed three-year bargaining agreements with the International Union of Operating Engineers (“OE”), representing certain employees in the engineering department, and the Utility Workers of America (“UWUA”), representing the majority of all non-administrative employees at SJWC covering the period from January 1, 2026 through December 31, 2028. The agreements include a 3% wage increase provided in 2026, 3% in 2027, and 4% in 2028 for the union employees.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Safety</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Aiming for a “zero-harm” culture, our vision is to manage health and safety performance to become a leader in the water services industry. Protecting the health and safety of our employees is a top priority. Our employee health and safety programs, focus on four core elements:</w:t>
      </w:r>
    </w:p>
    <w:p>
      <w:pPr>
        <w:spacing w:after="0" w:line="7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Leadership: demonstrating management commitment and support, empowering local teams to be accountable for safety;</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involving every employee in all aspects of the safety program, connecting safety initiatives to serving employees, customers, shareholders, our communities and the environment;</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 Identification and Control: inspecting workplaces, identifying hazards, implementing controls, and partnering with the front-line teams responsible for delivering reliable, clean, safe drinking water and service; and,</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training employees on hazards and how to protect themselves. Incident and crisis management of both known and unknown threats to employee health and safety are anticipated and planned for by our safety team.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specific targets that set the trajectory of our safety program to ensure continuous improvement, including:</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processes and systems to track, monitor, report and continually improve health and safety performance;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the updated Health and Safety Policy to employees to promote compliance, consultation, and participation of workers on health and safety matters;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Strive for zero accidents and injuries.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implemented several management systems to plan and respond to workplace safety and training as well as incidents such as pandemics, wildfires, earthquakes, cyber threats and extreme weather, among others. The goal is to safeguard our employees’ health and safety during local, national, or global incidents. Locally, workplace hazards are identified by onsite inspections and from near-miss investigations. More broadly, the team collaborates to anticipate and plan for external events such as a pandemic or for extreme weather or other external events that could impact our operations. Proactive identification of hazards keeps us one step ahead of our constantly changing workplace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Engagement and Satisfaction</w:t>
      </w:r>
    </w:p>
    <w:p>
      <w:pPr>
        <w:spacing w:after="0" w:line="16"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H2O America has invested significantly in employee engagement and satisfaction in alignment with its values and five building blocks of Community, Customers, Employees, Environment and Shareholders. Employees across H2O America identified and adopted three core values to guide their work and interactions: do it right, do it together and do it with heart. Our leadership employs a servant leadership model where all leaders are encouraged and expected to provide service to their people ensuring that they continue to grow and thrive in their profession, knowledge, and general well-being. Regular “Straight Talk” meetings, employee town halls and quarterly “Leadership on Tap” gatherings are held to continue to build and support our culture and</w:t>
      </w:r>
    </w:p>
    <w:p>
      <w:pPr>
        <w:spacing w:after="0" w:line="200" w:lineRule="exact"/>
        <w:rPr>
          <w:sz w:val="20"/>
          <w:szCs w:val="20"/>
          <w:color w:val="auto"/>
        </w:rPr>
      </w:pPr>
    </w:p>
    <w:p>
      <w:pPr>
        <w:spacing w:after="0" w:line="3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values. Additionally, the company provides ongoing opportunities for employee recognition from peers and leaders and also administers an employee engagement and satisfaction survey twice per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Community Involvement</w:t>
      </w:r>
    </w:p>
    <w:p>
      <w:pPr>
        <w:spacing w:after="0" w:line="1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In support of our mission, we are dedicated to the people and the environment of the communities where we live, work, and serve. H2O America provides various opportunities for our employees to participate in outreach programs from free virtual education programs for adults, employee-led courses for elementary school aged children, winter coat donation drives, environmental cleanups, community events, and grant programs supporting schools and fire departments. The Force for Good Foundation, established in 2024, is a non-consolidated not-for-profit corporation funded by H2O America that is making contributions to selected charitable organizations with a focus on the communities served. SJWC and CWC also have matching donations for certain programs to further promote our employees’ involvement in their communities. In California, the SJWC Employees Community Fund is a 501(c)(3) charitable organization that uses funds from employee contributions and company matches to provide grants to non-profit organizations supported by our employees. H2O America has a key commitment to supporting local non-profits through the Force for Good Foundation and building strong community 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Wages and Competitive Benefits</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H2O America’s future success is largely dependent upon our ability to attract and retain highly skilled and qualified employees. Our California and Connecticut subsidiaries operate in particularly competitive labor markets; we believe our compensation package and benefit programs allow us to recruit and retain talented and qualified personnel. Our compensation and benefits programs include:</w:t>
      </w:r>
    </w:p>
    <w:p>
      <w:pPr>
        <w:spacing w:after="0" w:line="68" w:lineRule="exact"/>
        <w:rPr>
          <w:sz w:val="20"/>
          <w:szCs w:val="20"/>
          <w:color w:val="auto"/>
        </w:rPr>
      </w:pPr>
    </w:p>
    <w:p>
      <w:pPr>
        <w:ind w:left="660" w:right="9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employee wages as benchmarked to the markets that our employees live and work in that are consistent with employee roles and responsibilities, skill levels, experience, and knowledge;</w:t>
      </w:r>
    </w:p>
    <w:p>
      <w:pPr>
        <w:spacing w:after="0" w:line="5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nationally, recognized outside compensation and benefits consulting firms to independently evaluate the appropriateness and effectiveness of compensation for our executive and other officers and to provide benchmarks for executive compensation as compared to peer companies;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compensation for management level staff aligning with company financial and operational goals targeted to our stakeholders: customers, communities, employees, and stockholders;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stockholder value by utilizing equity awards linked to investment performance over time, as well as certain absolute financial results;</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annual employee performance review process pursuant to which we determine and communicate to employees annual merit increases, promotions and other changes to responsibilities and duties; and</w:t>
      </w:r>
    </w:p>
    <w:p>
      <w:pPr>
        <w:spacing w:after="0" w:line="53"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all full-time employees to participate in health insurance, dental, vision, cafeteria plans, life and disability/accident coverage, retirement plans and/or salary deferral plans, an employee stock purchase plan, paid and unpaid leaves, a commuter assistance program, professional education and training, and tuition assistance.</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name, age, offices held and business experience for each of our executive officers, as of February 26, 2026:</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540" w:type="dxa"/>
            <w:vAlign w:val="bottom"/>
            <w:gridSpan w:val="3"/>
          </w:tcPr>
          <w:p>
            <w:pPr>
              <w:ind w:left="3640"/>
              <w:spacing w:after="0"/>
              <w:rPr>
                <w:sz w:val="20"/>
                <w:szCs w:val="20"/>
                <w:color w:val="auto"/>
              </w:rPr>
            </w:pPr>
            <w:r>
              <w:rPr>
                <w:rFonts w:ascii="Times New Roman" w:cs="Times New Roman" w:eastAsia="Times New Roman" w:hAnsi="Times New Roman"/>
                <w:sz w:val="14"/>
                <w:szCs w:val="14"/>
                <w:b w:val="1"/>
                <w:bCs w:val="1"/>
                <w:color w:val="auto"/>
              </w:rPr>
              <w:t>Offices and Experience</w:t>
            </w: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0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Willie Brown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H2O America—Vice President and General Counsel. </w:t>
            </w:r>
            <w:r>
              <w:rPr>
                <w:rFonts w:ascii="Times New Roman" w:cs="Times New Roman" w:eastAsia="Times New Roman" w:hAnsi="Times New Roman"/>
                <w:sz w:val="18"/>
                <w:szCs w:val="18"/>
                <w:color w:val="auto"/>
              </w:rPr>
              <w:t>Mr. Brown serves as Vice President and General Counsel</w:t>
            </w: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of H2O America and SJWC since June 2021. Mr. Brown served as Corporate Secretary of H2O America and SJWC</w:t>
            </w: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from January 2020 to October 2023. Mr. Brown served as Assistant General Counsel of H2O America and SJWC</w:t>
            </w: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from January 2020 to June 2021. From April 2018 to October 2023, Mr. Brown served as counsel and Corporate</w:t>
            </w: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Secretary of various subsidiaries of the Corporation. Since joining SJWC in 2008, Mr. Brown has held various legal</w:t>
            </w: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positions of increasing scope and responsibly. Prior to joining SJWC, Mr. Brown was an associate at two Silicon</w:t>
            </w:r>
          </w:p>
        </w:tc>
      </w:tr>
      <w:tr>
        <w:trPr>
          <w:trHeight w:val="221"/>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Valley law firms and is a member of the State Bar of California.</w:t>
            </w: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Bruce A. Hauk</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 xml:space="preserve">H2O America—President and Chief Operating Officer. </w:t>
            </w:r>
            <w:r>
              <w:rPr>
                <w:rFonts w:ascii="Times New Roman" w:cs="Times New Roman" w:eastAsia="Times New Roman" w:hAnsi="Times New Roman"/>
                <w:sz w:val="18"/>
                <w:szCs w:val="18"/>
                <w:color w:val="auto"/>
                <w:w w:val="99"/>
              </w:rPr>
              <w:t>Mr. Hauk serves as President of H2O America since July</w:t>
            </w: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2025, and Chief Operating Officer of H2O America, SJWC, CTWS, and TWC since January 2023. Mr. Hauk was</w:t>
            </w: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the Chief Corporate Development and Strategy Officer of H2O America, SJWC, CTWS, and TWC from August</w:t>
            </w: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2022 to December 2022. Prior to joining the Company, Mr. Hauk was the President of NextEra Water from May</w:t>
            </w: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2021 to August 2022. Prior to joining NextEra, Mr. Hauk served in several roles at American Water Works</w:t>
            </w: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Company, Inc. from May 2011 to March 2021, lastly serving as President of Regulated Operations and Military</w:t>
            </w: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Services Group and then as Deputy Chief Operating Officer. Previously, Mr. Hauk served as Deputy Mayor/Chief</w:t>
            </w: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Administrative Officer for the City of Westfield, Indiana and as Town Manager/Director of Public Works for the</w:t>
            </w:r>
          </w:p>
        </w:tc>
      </w:tr>
      <w:tr>
        <w:trPr>
          <w:trHeight w:val="226"/>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City of Westfield, Indiana.</w:t>
            </w: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Kristen A. Johnson</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H2O America—Senior Vice President and Chief Administrative Officer. </w:t>
            </w:r>
            <w:r>
              <w:rPr>
                <w:rFonts w:ascii="Times New Roman" w:cs="Times New Roman" w:eastAsia="Times New Roman" w:hAnsi="Times New Roman"/>
                <w:sz w:val="18"/>
                <w:szCs w:val="18"/>
                <w:color w:val="auto"/>
              </w:rPr>
              <w:t>Ms. Johnson serves as President of</w:t>
            </w: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Shared Services, Senior Vice President since November 2022 and Chief Administrative Officer of H2O America,</w:t>
            </w: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since April 2020. Ms. Johnson also serves as Senior Vice President of Administration for CTWS and certain of its</w:t>
            </w: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subsidiaries since November 2019. Ms. Johnson also serves as Senior Vice President and Chief Administrative</w:t>
            </w: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Officer of SJWC and TWC, and as Senior Vice President of Administration for CWC and MWC, since April 2023.</w:t>
            </w: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rPr>
              <w:t>Previously, Ms. Johnson served as Director of Human Resources, Vice President of Human Resources and Vice</w:t>
            </w: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President and Corporate Secretary of CTWS and its subsidiaries from 2007, 2008, and 2010, respectively. She</w:t>
            </w: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served as the Corporate Secretary of MWC until July 2020.</w:t>
            </w: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Ann P. Kelly</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6"/>
                <w:szCs w:val="16"/>
                <w:color w:val="auto"/>
              </w:rPr>
            </w:pPr>
          </w:p>
        </w:tc>
        <w:tc>
          <w:tcPr>
            <w:tcW w:w="854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 xml:space="preserve">H2O America—Chief Financial Officer and Treasurer. </w:t>
            </w:r>
            <w:r>
              <w:rPr>
                <w:rFonts w:ascii="Times New Roman" w:cs="Times New Roman" w:eastAsia="Times New Roman" w:hAnsi="Times New Roman"/>
                <w:sz w:val="18"/>
                <w:szCs w:val="18"/>
                <w:color w:val="auto"/>
                <w:w w:val="99"/>
              </w:rPr>
              <w:t>Ms. Kelly serves as Chief Financial Officer and Treasurer</w:t>
            </w:r>
          </w:p>
        </w:tc>
      </w:tr>
      <w:tr>
        <w:trPr>
          <w:trHeight w:val="204"/>
        </w:trPr>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40" w:type="dxa"/>
            <w:vAlign w:val="bottom"/>
            <w:gridSpan w:val="3"/>
          </w:tcPr>
          <w:p>
            <w:pPr>
              <w:ind w:left="140"/>
              <w:spacing w:after="0" w:line="204" w:lineRule="exact"/>
              <w:rPr>
                <w:sz w:val="20"/>
                <w:szCs w:val="20"/>
                <w:color w:val="auto"/>
              </w:rPr>
            </w:pPr>
            <w:r>
              <w:rPr>
                <w:rFonts w:ascii="Times New Roman" w:cs="Times New Roman" w:eastAsia="Times New Roman" w:hAnsi="Times New Roman"/>
                <w:sz w:val="18"/>
                <w:szCs w:val="18"/>
                <w:color w:val="auto"/>
              </w:rPr>
              <w:t>of H2O America, SJWC, CTWS, TWC, CWC, and MWC since July 2025. Ms. Kelly served as Chief Accounting</w:t>
            </w:r>
          </w:p>
        </w:tc>
      </w:tr>
    </w:tbl>
    <w:p>
      <w:pPr>
        <w:ind w:left="2800"/>
        <w:spacing w:after="0" w:line="220" w:lineRule="auto"/>
        <w:rPr>
          <w:sz w:val="20"/>
          <w:szCs w:val="20"/>
          <w:color w:val="auto"/>
        </w:rPr>
      </w:pPr>
      <w:r>
        <w:rPr>
          <w:rFonts w:ascii="Times New Roman" w:cs="Times New Roman" w:eastAsia="Times New Roman" w:hAnsi="Times New Roman"/>
          <w:sz w:val="17"/>
          <w:szCs w:val="17"/>
          <w:color w:val="auto"/>
        </w:rPr>
        <w:t>Officer and Principal Accounting Officer of H2O America, and Chief Accounting Officer of SJWC, CTWS, TWC, CWC, and MWC from November 2024 to June 2025. Prior to joining H2O America, Ms. Kelly was Executive Vice President Finance and Chief Financial Officer of American Electric Power from November 2022 to September 2023.</w:t>
      </w:r>
    </w:p>
    <w:p>
      <w:pPr>
        <w:spacing w:after="0" w:line="2" w:lineRule="exact"/>
        <w:rPr>
          <w:sz w:val="20"/>
          <w:szCs w:val="20"/>
          <w:color w:val="auto"/>
        </w:rPr>
      </w:pPr>
    </w:p>
    <w:p>
      <w:pPr>
        <w:ind w:left="2800" w:right="320"/>
        <w:spacing w:after="0" w:line="218" w:lineRule="auto"/>
        <w:rPr>
          <w:sz w:val="20"/>
          <w:szCs w:val="20"/>
          <w:color w:val="auto"/>
        </w:rPr>
      </w:pPr>
      <w:r>
        <w:rPr>
          <w:rFonts w:ascii="Times New Roman" w:cs="Times New Roman" w:eastAsia="Times New Roman" w:hAnsi="Times New Roman"/>
          <w:sz w:val="18"/>
          <w:szCs w:val="18"/>
          <w:color w:val="auto"/>
        </w:rPr>
        <w:t>From December 2014 to November 2022, Ms. Kelly served in various roles of increasing responsibility at UGI Corporation and its subsidiaries. Ms. Kelly also previously served as Vice President Finance and Chief Financial Officer, AmeriGas Propane, a UGI subsidiary.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Andrew F. Walters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40" w:hanging="479"/>
        <w:spacing w:after="0" w:line="254" w:lineRule="auto"/>
        <w:rPr>
          <w:sz w:val="20"/>
          <w:szCs w:val="20"/>
          <w:color w:val="auto"/>
        </w:rPr>
      </w:pPr>
      <w:r>
        <w:rPr>
          <w:rFonts w:ascii="Times New Roman" w:cs="Times New Roman" w:eastAsia="Times New Roman" w:hAnsi="Times New Roman"/>
          <w:sz w:val="17"/>
          <w:szCs w:val="17"/>
          <w:color w:val="auto"/>
        </w:rPr>
        <w:t>55</w:t>
      </w:r>
      <w:r>
        <w:rPr>
          <w:sz w:val="20"/>
          <w:szCs w:val="20"/>
          <w:color w:val="auto"/>
        </w:rPr>
        <w:t xml:space="preserve"> </w:t>
      </w:r>
      <w:r>
        <w:rPr>
          <w:rFonts w:ascii="Times New Roman" w:cs="Times New Roman" w:eastAsia="Times New Roman" w:hAnsi="Times New Roman"/>
          <w:sz w:val="17"/>
          <w:szCs w:val="17"/>
          <w:b w:val="1"/>
          <w:bCs w:val="1"/>
          <w:color w:val="auto"/>
        </w:rPr>
        <w:t xml:space="preserve">H2O America—Chairman of the Board of Directors and Chief Executive Officer. </w:t>
      </w:r>
      <w:r>
        <w:rPr>
          <w:rFonts w:ascii="Times New Roman" w:cs="Times New Roman" w:eastAsia="Times New Roman" w:hAnsi="Times New Roman"/>
          <w:sz w:val="17"/>
          <w:szCs w:val="17"/>
          <w:color w:val="auto"/>
        </w:rPr>
        <w:t>Mr. Walters serves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Chairman of the Board of Directors since February 2026 and Chief Executive Officer of H2O America, SJWC,</w:t>
      </w:r>
    </w:p>
    <w:p>
      <w:pPr>
        <w:spacing w:after="0" w:line="1" w:lineRule="exact"/>
        <w:rPr>
          <w:sz w:val="20"/>
          <w:szCs w:val="20"/>
          <w:color w:val="auto"/>
        </w:rPr>
      </w:pPr>
    </w:p>
    <w:p>
      <w:pPr>
        <w:sectPr>
          <w:pgSz w:w="11900" w:h="16838" w:orient="portrait"/>
          <w:cols w:equalWidth="0" w:num="2">
            <w:col w:w="2080" w:space="720"/>
            <w:col w:w="8440"/>
          </w:cols>
          <w:pgMar w:left="320" w:top="121" w:right="339" w:bottom="1440" w:gutter="0" w:footer="0" w:header="0"/>
          <w:type w:val="continuous"/>
        </w:sectPr>
      </w:pPr>
    </w:p>
    <w:p>
      <w:pPr>
        <w:ind w:left="2800" w:right="20"/>
        <w:spacing w:after="0" w:line="198" w:lineRule="auto"/>
        <w:rPr>
          <w:sz w:val="20"/>
          <w:szCs w:val="20"/>
          <w:color w:val="auto"/>
        </w:rPr>
      </w:pPr>
      <w:r>
        <w:rPr>
          <w:rFonts w:ascii="Times New Roman" w:cs="Times New Roman" w:eastAsia="Times New Roman" w:hAnsi="Times New Roman"/>
          <w:sz w:val="18"/>
          <w:szCs w:val="18"/>
          <w:color w:val="auto"/>
        </w:rPr>
        <w:t>CTWS, TWC, CWC, and MWC since July 2025. Mr. Walters also served as Chief Financial Officer and Treasurer of H2O America, SJWC, CTWS, TWC, CWC, and MWC from January 2022 to June 2025. Mr. Walters served as Chief Corporate Development Officer and Integration Executive of H2O America from November 2019 until</w:t>
      </w:r>
    </w:p>
    <w:p>
      <w:pPr>
        <w:spacing w:after="0" w:line="2" w:lineRule="exact"/>
        <w:rPr>
          <w:sz w:val="20"/>
          <w:szCs w:val="20"/>
          <w:color w:val="auto"/>
        </w:rPr>
      </w:pPr>
    </w:p>
    <w:p>
      <w:pPr>
        <w:ind w:left="2800" w:right="80"/>
        <w:spacing w:after="0" w:line="220" w:lineRule="auto"/>
        <w:rPr>
          <w:sz w:val="20"/>
          <w:szCs w:val="20"/>
          <w:color w:val="auto"/>
        </w:rPr>
      </w:pPr>
      <w:r>
        <w:rPr>
          <w:rFonts w:ascii="Times New Roman" w:cs="Times New Roman" w:eastAsia="Times New Roman" w:hAnsi="Times New Roman"/>
          <w:sz w:val="17"/>
          <w:szCs w:val="17"/>
          <w:color w:val="auto"/>
        </w:rPr>
        <w:t>January 2022, and previously served as Chief Administrative Officer of SJWC from January 2014 until January 2019. Mr. Walters also served as the Vice President of Business Planning of CWC and CTWS from November 2019 until January 2022. Prior to joining SJWC in 2014, Mr. Walters was a managing director and a senior acquisitions</w:t>
      </w:r>
    </w:p>
    <w:p>
      <w:pPr>
        <w:ind w:left="2800"/>
        <w:spacing w:after="0" w:line="206" w:lineRule="auto"/>
        <w:rPr>
          <w:sz w:val="20"/>
          <w:szCs w:val="20"/>
          <w:color w:val="auto"/>
        </w:rPr>
      </w:pPr>
      <w:r>
        <w:rPr>
          <w:rFonts w:ascii="Times New Roman" w:cs="Times New Roman" w:eastAsia="Times New Roman" w:hAnsi="Times New Roman"/>
          <w:sz w:val="18"/>
          <w:szCs w:val="18"/>
          <w:color w:val="auto"/>
        </w:rPr>
        <w:t>officer in the Infrastructure Investments Group of JP Morgan Asset Management from January 2009 to June 2013.</w:t>
      </w:r>
    </w:p>
    <w:p>
      <w:pPr>
        <w:ind w:left="2800"/>
        <w:spacing w:after="0" w:line="203" w:lineRule="auto"/>
        <w:rPr>
          <w:sz w:val="20"/>
          <w:szCs w:val="20"/>
          <w:color w:val="auto"/>
        </w:rPr>
      </w:pPr>
      <w:r>
        <w:rPr>
          <w:rFonts w:ascii="Times New Roman" w:cs="Times New Roman" w:eastAsia="Times New Roman" w:hAnsi="Times New Roman"/>
          <w:sz w:val="18"/>
          <w:szCs w:val="18"/>
          <w:color w:val="auto"/>
        </w:rPr>
        <w:t>Prior to this, Mr. Walters served in the Investment Banking Division of Citigroup as managing director and head of</w:t>
      </w:r>
    </w:p>
    <w:p>
      <w:pPr>
        <w:ind w:left="2800"/>
        <w:spacing w:after="0" w:line="219" w:lineRule="auto"/>
        <w:rPr>
          <w:sz w:val="20"/>
          <w:szCs w:val="20"/>
          <w:color w:val="auto"/>
        </w:rPr>
      </w:pPr>
      <w:r>
        <w:rPr>
          <w:rFonts w:ascii="Times New Roman" w:cs="Times New Roman" w:eastAsia="Times New Roman" w:hAnsi="Times New Roman"/>
          <w:sz w:val="18"/>
          <w:szCs w:val="18"/>
          <w:color w:val="auto"/>
        </w:rPr>
        <w:t>infrastructure for the Americas and in other roles focused on mergers and acquisitions and capital raising for clients,</w:t>
      </w:r>
    </w:p>
    <w:p>
      <w:pPr>
        <w:spacing w:after="0" w:line="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since 1993.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Officer of the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name, age, offices held and business experience for our principal accounting officer, as of February 26, 2026:</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54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 xml:space="preserve">H2O America—Chief Accounting Officer, Principal Accounting Officer, and Controller. </w:t>
            </w:r>
            <w:r>
              <w:rPr>
                <w:rFonts w:ascii="Times New Roman" w:cs="Times New Roman" w:eastAsia="Times New Roman" w:hAnsi="Times New Roman"/>
                <w:sz w:val="18"/>
                <w:szCs w:val="18"/>
                <w:color w:val="auto"/>
                <w:w w:val="99"/>
              </w:rPr>
              <w:t>Ms. Mattern serves as</w:t>
            </w:r>
          </w:p>
        </w:tc>
        <w:tc>
          <w:tcPr>
            <w:tcW w:w="0" w:type="dxa"/>
            <w:vAlign w:val="bottom"/>
          </w:tcPr>
          <w:p>
            <w:pPr>
              <w:spacing w:after="0" w:line="20" w:lineRule="exact"/>
              <w:rPr>
                <w:sz w:val="1"/>
                <w:szCs w:val="1"/>
                <w:color w:val="auto"/>
              </w:rPr>
            </w:pPr>
          </w:p>
        </w:tc>
      </w:tr>
      <w:tr>
        <w:trPr>
          <w:trHeight w:val="20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Mattern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8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Chief Accounting Officer, Principal Accounting Officer, and Controller of H2O America, and Chief Accounting</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Officer of SJWC, CTWS, TWC, CWC, and MWC since July 2025. Prior to joining H2O America, Ms. Mattern was</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Vice President and Chief Financial Officer of UGI International, a subsidiary of UGI Corporation (“UGI”), from</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August 2022 to July 2025, and was Deputy UGI International from May 2024 to March 2025. From November 2019</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99"/>
              </w:rPr>
              <w:t>to September 2022, Ms. Mattern served as Vice President and Chief Financial Officer at UGI Energy Services, LLC,</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a subsidiary of UGI. Previously, Ms. Mattern served in various roles of increasing responsibility at subsidiaries of</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UGI from May 2016 to November 2019. Prior to joining UGI, Ms. Mattern served in various roles of increasing</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responsibility at the regulated electric and unregulated businesses of PPL Corporation from 2004 to May 2016.</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H2O America’s Annual Reports on Form 10-K, Quarterly Reports on Form 10-Q and Current Reports on Form 8-K, and amendments to these reports, are made available free of charge through H2O America’s website at www.h2o-america.com, as soon as reasonably practicable, after H2O America electronically files such material with, or furnishes such materials to, the SEC. The content of H2O America’s website is not incorporated by reference to or part of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may obtain electronic copies of our reports filed with the SEC on the SEC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Investors should carefully consider the following risk factors and warnings before making an investment decision. The risks described below are not the only ones facing H2O America and its subsidiaries. Additional risks that H2O America and its subsidiaries does not yet know of or that it currently thinks are immaterial may also impair its business operations. If any of the following risks actually occur, H2O America and its subsidiaries’ business, operating results or financial condition could be materially affected. In such case, the trading price of H2O America’s common stock could decline and you may lose part or all of your investment. Investors should also refer to the other information set forth in this Annual Report on Form 10-K, including the consolidated financial statements and the notes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Quadvest Acquisition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discusses certain risk factors relating to the proposed transactions with Quadvest, and does not include all of the risk factors associated with the proposed transactions and H2O America after the proposed transactions.</w:t>
      </w:r>
    </w:p>
    <w:p>
      <w:pPr>
        <w:spacing w:after="0" w:line="50" w:lineRule="exact"/>
        <w:rPr>
          <w:sz w:val="20"/>
          <w:szCs w:val="20"/>
          <w:color w:val="auto"/>
        </w:rPr>
      </w:pPr>
    </w:p>
    <w:p>
      <w:pPr>
        <w:ind w:right="24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Our proposed transactions with Quadvest are subject to the receipt of consents and clearances from regulatory authorities that may impose conditions that could have an adverse effect on H2O America or, if not obtained, could prevent completion of the proposed transactions.</w:t>
      </w:r>
    </w:p>
    <w:p>
      <w:pPr>
        <w:spacing w:after="0" w:line="2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Completion of the proposed transactions is contingent upon, among other things, the receipt of all required regulatory approvals, which consist of compliance with and filings and the applicable waiting period under the Hart Scott-Rodino Antitrust Improvements Act, compliance with and applications for permits with state and municipal agencies and consent required by the PUCT for the transfer of Quadvest’s water and sewer utility business (the “Regulated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terms and conditions of the approvals that are granted by such governmental entities and regulatory authorities may impose requirements, limitations, costs, or place restrictions on the conduct of H2O America’s business. The asset purchase agreements may require H2O America to comply with conditions imposed by regulatory entities and, in certain circumstances, either company may refuse to close the proposed transactions on the basis of regulatory conditions imposed. There can be no assurance that regulators will not impose conditions, terms, obligations or restrictions or that such conditions, terms, obligations or restrictions will not have the effect of delaying completion of the proposed transactions or imposing additional material costs on or materially limiting the revenues of H2O America following the proposed transactions. Additionally, H2O America cannot provide assurance that any such conditions, terms, obligations or restrictions will not result in the delay or abandonment of the proposed transactions, or the consummation of the proposed transactions on terms different than those contemplated by the asset purchase agreements.</w:t>
      </w:r>
    </w:p>
    <w:p>
      <w:pPr>
        <w:spacing w:after="0" w:line="80"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length of the regulatory approval process required by the PUCT, which may be extended beyond its current estimates, may reduce or eliminate the benefits to be achieved under the proposed transactions.</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condition to the consummation of the proposed transactions, the sale of the Regulated Business must be approved by the PUCT. While we expect the transaction to receive PUCT approval by mid-2026, the exact timeline for this approval process is unknown and may not occur until later, if at all.</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the required regulatory clearances, the proposed transactions are subject to a number of other conditions beyond H2O America’s control that may prevent, delay or otherwise materially adversely affect its completion. We cannot predict whether and when these other conditions will be satisfied. Furthermore, the requirements for obtaining the required clearances and approvals could delay the completion of the proposed transactions for a significant period of time or prevent them from occurring. Any delay in completing the proposed transactions could cause H2O America to not realize, or to be delayed in realizing, some or all of the benefits that we expect to achieve if the proposed transactions are successfully completed within the expected time frame. Failure to achieve these anticipated benefits within the expected time frame could result in increased costs and/or lower-than-expected revenues or income generated by H2O America after the completion of the proposed transactions.</w:t>
      </w:r>
    </w:p>
    <w:p>
      <w:pPr>
        <w:spacing w:after="0" w:line="77"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successfully integrate Quadvest’s business with ours and realize the anticipated benefits of the acquisition, which could negatively impact the future business and financial results of H2O America.</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anticipated benefits expected from the proposed transactions are based on projections and assumptions about the combined Quadvest and H2O America businesses, which may not materialize as expected or which may prove to be inaccurate. Achieving the benefits of the proposed transactions will depend, in part, on H2O America’s ability to integrate the business and operations of Quadvest successfully and efficiently with our business. The challenges involved in this integration, which will be complex and time-consuming, include the following:</w:t>
      </w:r>
    </w:p>
    <w:p>
      <w:pPr>
        <w:spacing w:after="0" w:line="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managing relationships with our combined customer base and retaining Quadvest’s customers;</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Quadvest’s business with ours in a manner that permits H2O America to achieve the synergies and other benefits anticipated to result from the proposed transactions;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complex systems, operating procedures, regulatory compliance programs, technology, networks, and other assets of Quadvest and H2O America in a manner that minimizes any adverse impact on customers, suppliers, employees, and other constituencies;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of the management and other key employees of Quadvest and H2O America;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workforces of Quadvest and H2O America while maintaining focus on providing clean, high quality water and exceptional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or the loss of momentum in, the ongoing business of H2O America;</w:t>
      </w:r>
    </w:p>
    <w:p>
      <w:pPr>
        <w:spacing w:after="0" w:line="117"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are significantly larger than we currently anticipate and unforeseen increased expenses or delays associated with the proposed transactions, including transition costs to integrate the businesses of Quadvest and H2O America, that may exceed the costs that we currently anticipate;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scale of our operations resulting from the proposed transactions.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these issues and the other challenges inherent in integrating Quadvest, then we may not achieve the anticipated benefits of the proposed transactions and our business, financial condition and results of operations could be materially adversely affected.</w:t>
      </w:r>
    </w:p>
    <w:p>
      <w:pPr>
        <w:spacing w:after="0" w:line="50"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complete the proposed transactions as currently contemplated or at all could negatively impact the stock price, business operations and financial results of H2O America.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Completion of the proposed transactions is not assured and is subject to risks, including the risks that approval of the proposed transactions by governmental entities will not be obtained or that certain other closing conditions will not be satisfied. If the proposed transactions are not completed, or are completed on different terms than as contemplated by the asset purchase agreements, the ongoing businesses and financial results of H2O America may be adversely affected and H2O America will be subject to several risks, including the following:</w:t>
      </w:r>
    </w:p>
    <w:p>
      <w:pPr>
        <w:spacing w:after="0" w:line="207" w:lineRule="exact"/>
        <w:rPr>
          <w:sz w:val="20"/>
          <w:szCs w:val="20"/>
          <w:color w:val="auto"/>
        </w:rPr>
      </w:pPr>
    </w:p>
    <w:p>
      <w:pPr>
        <w:ind w:left="660" w:right="140" w:hanging="328"/>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pay certain significant costs relating to the proposed transactions without receiving the benefits of the proposed transactions, including, in certain circumstances, payment of a termination fee;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due to the adverse public perception of any failure to successfully complete the proposed transactions; and</w:t>
      </w:r>
    </w:p>
    <w:p>
      <w:pPr>
        <w:spacing w:after="0" w:line="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H2O America’s management having focused on the proposed transactions instead of on conducting its day-to-day business and operational matters and pursuing other opportunities that could have been beneficial to the companies.</w:t>
      </w:r>
    </w:p>
    <w:p>
      <w:pPr>
        <w:spacing w:after="0" w:line="3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Any delay in the completion of the proposed transactions, any uncertainty about the completion of the proposed transactions on terms other than those contemplated by the asset purchase agreements and any failure to complete the proposed transactions could adversely affect the business, financial results and stock price of H2O America.</w:t>
      </w:r>
    </w:p>
    <w:p>
      <w:pPr>
        <w:spacing w:after="0" w:line="64"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asset purchase agreements with Quadvest may be terminated in certain circumstances, which would result in the benefits of the proposed transactions not being realized, and under certain circumstances, we may be required to pay a termination fee.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Either H2O America or Quadvest may terminate the asset purchase agreements under certain circumstances, including if the proposed transactions have not been consummated by January 7, 2027 (unless such date is extended to a date mutually agreed to by the parties to obtain regulatory approval under certain circumstances, which could be up to an additional eighteen months). However, this termination right will not be available to a party if such failure to complete the proposed transactions on or before such date is the result of such party’s failure to perform or comply, in all material respects, with any of the covenants, agreements or conditions of the asset purchase agreements. If we are not able to complete the proposed transactions by the end date, even if we decide not to terminate the asset purchase agreements, we may not be able to prevent Quadvest from exercising its right to terminate the asset purchase agreements.</w:t>
      </w:r>
    </w:p>
    <w:p>
      <w:pPr>
        <w:spacing w:after="0" w:line="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if the asset purchase agreements are terminated under certain circumstances related to regulatory approvals, H2O America may be required to pay to Quadvest a termination fee of $21 million.</w:t>
      </w:r>
    </w:p>
    <w:p>
      <w:pPr>
        <w:spacing w:after="0" w:line="50"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Failure to obtain financing for the proposed transactions on favorable terms or at all could negatively impact the operating results and financial condition of H2O America.</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H2O America may seek to raise capital to finance the proposed transactions, including through the issuance of debt or equity securities. There can be no assurance that such financing will be available on favorable terms, or at all. The incurrence of additional indebtedness could adversely affect H2O America’s financial condition, results of operations, or cash flows. Additionally, equity financings may result in dilution to our existing stockholders and debt financings may contain covenants that restrict the actions of H2O America and its subsidiaries. Furthermore, any downgrade in H2O America’s credit ratings by rating agencies may negatively impact the market value and liquidity of H2O America’s debt and equity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Regulatory and Legal Matters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business is regulated and may be adversely affected by changes to the regulatory environment.</w:t>
      </w:r>
    </w:p>
    <w:p>
      <w:pPr>
        <w:spacing w:after="0" w:line="10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Our Water Utility Services primarily represent the tariffed operations of our regulated utilities. Our operating revenue is generated primarily from the sale of water at rates authorized by applicable state public utility commissions (the “Regulators”). The Regulators set rates that are intended to provide revenues sufficient to recover normal operating expenses, provide funds for replacement of water infrastructure and produce a fair and reasonable return on stockholder common equity. Please refer to Part I, Item 1, “Regulation and Rates” for a discussion of the most recent regulatory proceedings affecting the rates of our regulated operations. Consequently, our revenue and operating results depend substantially upon the rates the Regulators authorize.</w:t>
      </w:r>
    </w:p>
    <w:p>
      <w:pPr>
        <w:spacing w:after="0" w:line="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some of our applications for rate approvals, we rely upon estimates and forecasts to propose rates for approval by the Regulators. No assurance can be given that our estimates and forecasts will be accurate or that the Regulators will agree with our estimates and forecasts and approve our proposed rates. To the extent our authorized rates may be too low, revenues may be insufficient to cover Water Utility Services’ operating expenses, capital requirements and H2O America’s historical dividend rate. In addition, delays in approving rate increases may negatively affect our operating results and operating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policies and regulations promulgated by the Regulators govern the recovery of capital expenditures, the treatment of gains from the sale of real utility property, the offset of production and operating costs, the recovery of the cost of debt, the optimal equity structure, and the financial and operational flexibility to engage in non-tariffed operations. If the regulators implement policies and regulations that will not allow Water Utility Services to accomplish some or all of the items listed above, its future operating results may be adversely affected. Furthermore, from time to time, the commissioners at the Regulators may change. Such changes could lead to changes in policies and regulations and there can be no assurance that the resulting changes in policies and regulation, if any, will not adversely affect our operating results or financial condition.</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various regulatory mechanisms such as balancing and memorandum accounts and rate adjustment mechanisms for infrastructure replacements and/or improvements, to recover certain costs and expenses. If the Regulators disagree with our calculations of our balancing and memorandum accounts, we may be required to make adjustments that could adversely affect our results of operations. Furthermore, there is no guarantee that the Regulators will approve our applications to recover all or a portion of our capital expenditure or infrastructure investment through such rate adjustment mechanisms, and their failure to do so will adversely affect our financial conditions and results of operations.</w:t>
      </w:r>
    </w:p>
    <w:p>
      <w:pPr>
        <w:spacing w:after="0" w:line="193" w:lineRule="exact"/>
        <w:rPr>
          <w:sz w:val="20"/>
          <w:szCs w:val="20"/>
          <w:color w:val="auto"/>
        </w:rPr>
      </w:pPr>
    </w:p>
    <w:p>
      <w:pPr>
        <w:ind w:right="480" w:firstLine="567"/>
        <w:spacing w:after="0" w:line="271" w:lineRule="auto"/>
        <w:rPr>
          <w:sz w:val="20"/>
          <w:szCs w:val="20"/>
          <w:color w:val="auto"/>
        </w:rPr>
      </w:pPr>
      <w:r>
        <w:rPr>
          <w:rFonts w:ascii="Times New Roman" w:cs="Times New Roman" w:eastAsia="Times New Roman" w:hAnsi="Times New Roman"/>
          <w:sz w:val="18"/>
          <w:szCs w:val="18"/>
          <w:b w:val="1"/>
          <w:bCs w:val="1"/>
          <w:color w:val="auto"/>
        </w:rPr>
        <w:t>Recovery of regulatory assets is subject to adjustment by regulatory agencies and could impact the operating results of Water Utility Services.</w:t>
      </w:r>
    </w:p>
    <w:p>
      <w:pPr>
        <w:spacing w:after="0" w:line="6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Generally accepted accounting principles (“GAAP”) for water utilities include the recognition of regulatory assets and liabilities to reflect the actions of regulators as permitted by Financial Accounting Standards Board (“FASB”) ASC Topic 980—“Regulated Operations.” These actions may result in the recognition of revenues and expenses in time periods that are different from non-rate-regulated enterprises. In accordance with ASC Topic 980, Water Utility Services record deferred costs on the balance sheet as regulatory assets when it is probable that these costs will be recovered in the ratemaking process. Also, Water Utility Services record regulatory liabilities for amounts expected to be refunded to customers in the ratemaking process and for amounts collected in advance of the related expenditures. Please refer to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of the “Notes to Consolidated Financial Statements” for a summary of regulatory assets and liabilities. If the assessment of the probability of recovery in the ratemaking process is incorrect and the applicable ratemaking body determines that a deferred cost is not recoverable through future rate increases, the regulatory assets would need to be adjusted, which could have an adverse effect on our results of operations and financial condition.</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Utility Services is subject to litigation risks concerning water quality and contamination.</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October 2023, CWC, a subsidiary of H2O America in our Water Utility Services segment, was named as a defendant in a class action lawsuit alleging that the water provided by CWC contained contaminants. CWC is vigorously defending itself in this lawsuit. There can be no guarantee that additional lawsuits will not occur in the future. Any environmental or product-related lawsuit, including the class action against CWC, may require us to incur significant legal costs and we may not be able to recover the legal costs from ratepayers or other third parties. Although Water Utility Services has liability insurance coverage for bodily injury and property damage, pollution liability is excluded from this coverage and our excess liability coverage. Pollution liability coverage is in place for the majority of the H2O America locations and operations but is subject to exclusions and limitations. In addition, any complaints or lawsuits against us based on water quality and contamination may receive negative publicity that can damage our reputation and adversely affect our business and trading price of our common stock.</w:t>
      </w:r>
    </w:p>
    <w:p>
      <w:pPr>
        <w:spacing w:after="0" w:line="107" w:lineRule="exact"/>
        <w:rPr>
          <w:sz w:val="20"/>
          <w:szCs w:val="20"/>
          <w:color w:val="auto"/>
        </w:rPr>
      </w:pPr>
    </w:p>
    <w:p>
      <w:pPr>
        <w:ind w:right="5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Water Utility Services is subject to possible litigation or regulatory enforcement action concerning water discharges to Waters of the United States (“WOTUS”).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Regulatory actions and fines related to discharges of water to WOTUS against other water utilities have increased in frequency in recent years. If Water Utility Services is subject to a litigation or regulatory enforcement action, it might incur significant costs in fines and restoration efforts, and it is uncertain whether Water Utility Services would be able to recover some or all of such costs from ratepayers or other third parties. In addition, any litigation or regulatory enforcement action against us regarding a water discharge and/or resulting environmental impact may receive negative publicity that can damage our reputation and adversely affect our business and the trading price of our common stock.</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Streamflow regulations in Connecticut could potentially impact our ability to serve our customers.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2011, regulations concerning the flow of water in Connecticut’s rivers and streams were adopted. As promulgated, the regulations require that certain downstream releases be made from seven of CWC’s eighteen active reservoirs no later than ten years following the adoption of stream classifications by the Department of Energy and Environmental Protection (“DEEP”). Currently, downstream releases are made at four locations. The next streamflow releases will be initiated by February 2028 and will affect two additional reservoirs. No groundwater supply wells are affected by the regulations.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DEEP has finalized stream classifications in all areas of Connecticut where CWC maintains and operates sources of supply. The Company remains engaged in the process in order to minimize the impact to our available water supply. Although modified from prior versions, the regulations still have the potential to lower our safe yield, raise our capital and operating expenses and adversely affect our revenues and earnings. Although costs associated with the regulations may be recovered in the form of higher rates and Connecticut law allows for a WICA surcharge to recover capital improvement costs necessary to achieve compliance with the regulations, there can be no assurance PURA would approve rate increases to enable us to recover all such costs and surcharges.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New or more stringent environmental regulations could increase Water Utility Services’ operating costs and affect its business.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Water Utility Services is subject to water quality and pollution control regulations issued by the EPA and environmental laws and regulations administered by the respective states and local regulatory agencies.</w:t>
      </w:r>
    </w:p>
    <w:p>
      <w:pPr>
        <w:spacing w:after="0" w:line="5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New or more stringent environmental and water quality regulations could increase Water Utility Services’ water quality compliance costs, hamper Water Utility Services’ available water supplies, and increase future capital expenditures.</w:t>
      </w:r>
    </w:p>
    <w:p>
      <w:pPr>
        <w:ind w:right="40"/>
        <w:spacing w:after="0" w:line="234" w:lineRule="auto"/>
        <w:rPr>
          <w:sz w:val="20"/>
          <w:szCs w:val="20"/>
          <w:color w:val="auto"/>
        </w:rPr>
      </w:pPr>
      <w:r>
        <w:rPr>
          <w:rFonts w:ascii="Times New Roman" w:cs="Times New Roman" w:eastAsia="Times New Roman" w:hAnsi="Times New Roman"/>
          <w:sz w:val="18"/>
          <w:szCs w:val="18"/>
          <w:color w:val="auto"/>
        </w:rPr>
        <w:t>Under the federal Safe Drinking Water Act (“SDWA”), Water Utility Services is subject to regulation by the EPA relating to the quality of water it sells and treatment techniques it uses to make the water potable. The EPA promulgates, from time to time, nationally applicable standards, including maximum contaminant levels for drinking water. For example, in April 2024, the EPA issued new national primary drinking water regulations for PFAS. The regulations impose maximum contaminant levels and monitoring requirements for the nation’s water system for six PFAS chemicals under the SDWA. The final regulation requires water systems to comply with PFAS monitoring requirements by 2027, and to comply with the maximum contaminant levels by 2029. H2O America estimates capital expenditures of approximately $400 million for PFAS treatment based on finalized maximum contaminant levels. Additional or more stringent requirements may be adopted by each state. There can be no assurance that Water Utility Services will be able to continue to comply with all water quality requirements.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Water Utility Services has implemented monitoring activities and installed specific water treatment improvements in order to comply with existing maximum contaminant levels and plan for compliance with future drinking water regulations. However, the EPA and the respective state agencies have continuing authority to issue additional regulations under the SDWA. New or more stringent environmental standards could be imposed that will raise Water Utility Services’ operating costs and capital expenditures, including requirements for increased monitoring, additional treatment of underground water supplies, fluoridation of all supplies, more stringent performance standards for treatment plants, additional procedures to further reduce levels of disinfection by-products, and more comprehensive measures to monitor, reduce or eliminate known or newly identified contaminants, such as PFAS. There are currently regulatory mechanisms and procedures available to us for the recovery of such costs, however, there can be no assurance that such costs will be fully recovered and failure to do so may adversely affect our operating results.</w:t>
      </w:r>
    </w:p>
    <w:p>
      <w:pPr>
        <w:spacing w:after="0" w:line="120" w:lineRule="exact"/>
        <w:rPr>
          <w:sz w:val="20"/>
          <w:szCs w:val="20"/>
          <w:color w:val="auto"/>
        </w:rPr>
      </w:pPr>
    </w:p>
    <w:p>
      <w:pPr>
        <w:jc w:val="both"/>
        <w:ind w:right="18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The impact of climate change and climate change laws and regulations have been passed and are being proposed that require compliance with greenhouse gas emissions standards, as well as other climate change initiatives, which could increase Water Utility Services’ operating costs and affect our business.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Climate change is receiving ever increasing attention worldwide. Many scientists, legislators, and others attribute global warming to increased levels of greenhouse gases, including carbon dioxide. Climate change laws and regulations enacted and proposed limit greenhouse gases emissions from covered entities and require additional monitoring/reporting. We produce a corporate sustainability report, which provides an overview of our energy usage and greenhouse emissions. At this time, the existing greenhouse gases laws and regulations are not expected to materially impact Water Utility Services’ operations or capital expenditures. While regulation on climate change could change,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w:t>
      </w:r>
    </w:p>
    <w:p>
      <w:pPr>
        <w:spacing w:after="0" w:line="84"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Climate change may also impact water supply. For example, severity of drought conditions may impact the availability of water to all Water Utility Services and rising sea levels and their effect on contributing tributary’s water quality may impact the availability of groundwater to Water Utility Services.</w:t>
      </w:r>
    </w:p>
    <w:p>
      <w:pPr>
        <w:spacing w:after="0" w:line="68" w:lineRule="exact"/>
        <w:rPr>
          <w:sz w:val="20"/>
          <w:szCs w:val="20"/>
          <w:color w:val="auto"/>
        </w:rPr>
      </w:pPr>
    </w:p>
    <w:p>
      <w:pPr>
        <w:ind w:right="42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We may be at risk for litigation under the principle of inverse condemnation for activities in the normal course of business that have a damaging effect on private property.</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California legal doctrine of inverse condemnation, a public utility taking or damaging private property can be responsible to the property owners for compensation, even when damage occurs through no fault or negligence of the utility company and regardless of whether the damage could be foreseen. Based upon existing California case law, SJWC could be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sued under the doctrine of inverse condemnation and held liable if its facilities, operations or property, such as mains, fire hydrants, power lines and other equipment, or wildfires in our Santa Cruz Mountain watershed result in damage to private property.</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court finding of inverse condemnation does not obligate the CPUC to allow SJWC to recover damage awards or pass on costs to ratepayers. Insurance coverage for inverse condemnation may not be available or may not be sufficient. SJWC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liquidity, earnings, and operations may be adversely affected if we are unable to recover the costs of paying claims for damages caused by the operation and maintenance of our property from customers or through insurance.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water utility property and systems are subject to condemnation and other proceedings through eminent domain.</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State laws in jurisdictions where we operate, including California, Connecticut, Texas and Maine, allow municipalities, water districts and other public agencies to own and operate water systems. If these public agencies are able to establish certain eminent domain elements required under state and federal laws, they may condemn water systems or real property owned by privately owned public utilities in certain circumstances. In general, if a public agency seeks to exercise its eminent domain power to take possession of private property, it must establish that such taking is for a public purpose and must pay just compensation to owners of such property. In the event of eminent domain or condemnation proceedings against our water utility property or systems, we may incur substantial attorney’s fees, consultant and expert fees and other costs in considering a challenge to such proceeding and/or its valuation for just compensation, as well as fees and costs in any subsequent litigation if necessary. If the public agency prevailed and acquired our utility property, we would no longer have access to the condemned property or water system, neither would we be entitled to any portion of revenue generated from the use of such asset going forward. Furthermore, if public agencies succeed in acquiring our assets, there is a risk that we will not receive adequate compensation for the assets taken or be able to recover all charges associated with the condemnation of such assets, which may adversely affect our business operations and financial conditions.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Regulatory agencies may disagree with our valuation and characterization of certain of our assets.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determine that assets are no longer used or useful for utility operations, we may remove them from our rate base and subsequently sell those assets with any gain on sales accruing to the stockholders, subject to certain conditions. If the regulators disagree with our characterization, there is a risk that the regulators could determine that a portion or all of the realized appreciation in property value should be awarded to customers rather than our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Business Operations</w:t>
      </w:r>
    </w:p>
    <w:p>
      <w:pPr>
        <w:spacing w:after="0" w:line="158" w:lineRule="exact"/>
        <w:rPr>
          <w:sz w:val="20"/>
          <w:szCs w:val="20"/>
          <w:color w:val="auto"/>
        </w:rPr>
      </w:pPr>
    </w:p>
    <w:p>
      <w:pPr>
        <w:ind w:right="6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The adequacy of our water supplies depends upon a variety of factors beyond our control. Interruption in the water supply may adversely affect our reputation and earnings.</w:t>
      </w:r>
    </w:p>
    <w:p>
      <w:pPr>
        <w:spacing w:after="0" w:line="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depend on an adequate water supply to meet the present and future needs of our customers. Whether we have an adequate supply varies depending upon a variety of factors, many of which are partially or completely beyond our control, including:</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rainfall;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water stored in reservoirs;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underground water supply from which well water is pumped;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from water wholesalers;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water used by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quality and availability of appropriate treatment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limitations on water use such as rationing restrictions during a drought;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weather patterns and climate;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purchase our water supply from various governmental agencies and others. Water supply availability may be affected by weather conditions, funding and other political and environmental considerations. In addition, our ability to use surface water is subject to regulations regarding water quality and volume limitations. If new regulations are imposed or existing regulations are changed or given new interpretations, the availability of surface water may be materially reduced. A reduction in surface water could result in the need to procure more costly water from other sources, thereby increasing our water production costs and adversely affecting our operating results if not recovered in rates on a timely basis. From time to time, we enter into water supply agreements with third parties and our business is dependent upon such agreements in order to meet regional demand.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parties from whom we purchase water maintain significant infrastructure and systems to deliver water to us. The maintenance of these facilities is beyond our control. If these facilities are not adequately maintained or if these parties otherwise default on their obligations to supply water to us, we may not have adequate water supplies to meet our customers’ needs.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to access adequate water supplies, we may be unable to satisfy all customer demand, which could result in rationing. Rationing may have an adverse effect on cash flow from operations. We can make no guarantee that we will always have access to an adequate supply of water that will meet all required quality standards. Water shortages may affect us in a variety of ways. For example, shortages could:</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supply mix by causing us to rely on more expensive purchased water;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operating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risk of contamination to our systems due to our inability to maintain sufficient pressure; and</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capital expenditures for building pipelines to connect to alternative sources of supply, new wells to replace those that are no longer in service or are otherwise inadequate to meet the needs of our customers and reservoirs and other facilities to conserve or reclaim water.</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or may not be able to recover increased operating and construction costs on a timely basis, or at all, for our regulated systems through the ratemaking process. We can give no assurance, as to whether we may be able to recover certain of these costs from third parties that may be responsible, or potentially responsible, for any groundwater contamination.</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concentration of our business in California, Texas and Connecticut makes us susceptible to adverse developments affecting these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states.</w:t>
      </w:r>
    </w:p>
    <w:p>
      <w:pPr>
        <w:spacing w:after="0" w:line="2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While H2O America operates in multiple states, a significant majority of our current revenues and earnings are generated by our California and Connecticut operations. Following the consummation of the transactions with Quadvest, a significant amount of our revenues and earnings will also be generated by our Texas operations. As a result, our financial results are largely subject to political, regulatory, economic, water supply, weather, labor, and energy cost risks affecting California and Connecticut and, following the consummation of the transactions with Quadvest, Texas.</w:t>
      </w:r>
    </w:p>
    <w:p>
      <w:pPr>
        <w:spacing w:after="0" w:line="108" w:lineRule="exact"/>
        <w:rPr>
          <w:sz w:val="20"/>
          <w:szCs w:val="20"/>
          <w:color w:val="auto"/>
        </w:rPr>
      </w:pPr>
    </w:p>
    <w:p>
      <w:pPr>
        <w:ind w:right="54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We face competition from other utilities and service providers which might hinder our growth opportunities and mitigate our future profitability.</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face competition from other utilities and service providers which might hinder our growth opportunities and mitigate our future profitability. 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some protection against competitors, the pursuit of franchises is often competitive, where new franchises may be awarded to utilities based upon competitive negotiation. Competing entities have challenged, and may challenge in the future, our applications for new franchises.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Fluctuations in customer demand for water due to seasonality, restrictions of use, weather, and lifestyle can adversely affect operating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84"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Water Utility Services is seasonal, thus quarterly fluctuation in results of operations may be significant. Rainfall and other weather conditions also affect Water Utility Services. Water consumption typically increases during the third quarter of each year when weather tends to be warm and dry. In periods of drought, if customers are encouraged or required to conserve water due to a shortage of water supply or restriction of use, revenue tends to be lower.</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Similarly, in unusually wet periods, water supply tends to be higher and customer demand tends to be lower, again resulting in lower revenues. Furthermore, certain lifestyle choices made by customers can affect demand for water. For example, a significant portion of residential water use is for outside irrigation of lawns and landscaping. If there is a decreased desire by customers to maintain landscaping for their homes or restrictions are placed on outside irrigation, residential water demand would decrease, which would result in lower revenues.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Conservation efforts and construction codes, which require the use of low-flow plumbing fixtures and appliances, could diminish water consumption and result in reduced revenue. In addition, in time of drought, mandatory water conservation may become a requirement that impacts the water usage of our customers. While the impacts of conservation and drought may be mitigated by certain regulatory mechanisms that may apply, such regulatory mechanisms are subject to review and change 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Regulators. Accordingly, there could be no assurance that such regulatory mechanisms will offset the effects of any revenue losses or other adverse impacts to our operating results attributable to these fluctuations in customer demand.</w:t>
      </w:r>
    </w:p>
    <w:p>
      <w:pPr>
        <w:spacing w:after="0" w:line="90" w:lineRule="exact"/>
        <w:rPr>
          <w:sz w:val="20"/>
          <w:szCs w:val="20"/>
          <w:color w:val="auto"/>
        </w:rPr>
      </w:pPr>
    </w:p>
    <w:p>
      <w:pPr>
        <w:ind w:right="6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A contamination event or other decline in source water quality could affect the water supply of Water Utility Services and therefore adversely affect our business and operating results.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Water Utility Services is required under drinking water regulations to comply with water quality requirements. Through water quality compliance programs, Water Utility Services monitors for contamination and pollution of its sources of water. In addition, a watershed management program provides a proactive approach to minimize potential contamination activities. There can be no assurance that Water Utility Services will continue to comply fully with all applicable water quality requirements or detect contamination timely or at all. In addition, our facilities and infrastructure, including water towers, reservoirs and wells, may be subject to vandalism, break-ins or attacks, which may cause contamination or damage to our water supply. While we have</w:t>
      </w:r>
    </w:p>
    <w:p>
      <w:pPr>
        <w:spacing w:after="0" w:line="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taken measures to maintain physical security of our facilities, there is no guarantee that such measures will be effective to prevent such events. In the event a contamination is detected, Water Utility Services must either commence treatment to remove the contaminant or procure water from an alternative source. Either of these results may be costly, may increase future capital expenditures and there can be no assurance that the regulators would approve a rate increase to enable us to recover the costs arising from such remedies. In addition, we could be held liable for consequences arising from hazardous substances or contamination in our water supplies or other environmental damages and our reputation may be harmed by the public disclosures or media reports of these events. Our insurance policies may not cover or may not be sufficient to cover the costs of these claims.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Operating under contract water and waste systems subject us to risks.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Water Utility Services operates a number of water and wastewater systems under operation and maintenance contracts. Pursuant to these contracts, such systems are operated according to the standards set forth in the applicable contract, and it is generally the responsibility of the owner of the system to undertake capital improvements over which we may not have control. We may not be able to convince the owner to make needed improvements in order to maintain compliance with applicable regulations. Although violations and fines incurred by water and wastewater systems may be the responsibility of the owner of the system under these contracts, such non-compliance events may reflect poorly on us as the operator of the system and harm our reputation, and in some cases, may result in liability to the same extent as if we were the owner.</w:t>
      </w:r>
    </w:p>
    <w:p>
      <w:pPr>
        <w:spacing w:after="0" w:line="1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necessity for ongoing physical and technological security has resulted, and may continue to result, in increased operating costs.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necessity for ongoing physical and technological security has resulted, and may continue to result, in increased operating costs. Because of physical and technological threats to the health and security of the United States of America, we employ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spacing w:after="0" w:line="108" w:lineRule="exact"/>
        <w:rPr>
          <w:sz w:val="20"/>
          <w:szCs w:val="20"/>
          <w:color w:val="auto"/>
        </w:rPr>
      </w:pPr>
    </w:p>
    <w:p>
      <w:pPr>
        <w:ind w:right="10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Water Utility Services rely on information technology and systems that are key to business operations. A system malfunction, security breach, cyber-attacks, or other disruption that compromises our information could expose us to liability and adversely affect business operations. In addition, noncompliance could expose us to liability and adversely affect business operations.</w:t>
      </w:r>
    </w:p>
    <w:p>
      <w:pPr>
        <w:spacing w:after="0" w:line="6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Information technology is key to the operation of Water Utility Services, including but not limited to payroll, general ledger activities, outsourced bill preparation and remittance processing, providing customer service and the use of supervisory control and data acquisition systems to operate our distribution system. Among other things, system malfunctions, computer viruses and security breaches could prevent us from operating or monitoring our facilities, billing, and collecting cash accurately and timely analysis and reporting of financial results. In addition, we collect, process, and store sensitive data from our customers and employees, including personally identifiable information, on our networks. Despite our security measures, our information technology and infrastructure may be vulnerable to attacks by hackers or may be breached due to employee error, malfeasance, or other disruptions. Any such breach could compromise our networks, and the information stored there could be accessed without our authorization, publicly disclosed, lost, or stolen which could result in legal claims or proceedings, violation of privacy laws or damage to our reputation and customer relationships. Our profitability and cash flow could be affected negatively in the event these systems do not operate effectively or are breached. We also rely on third-party technology vendors for critical services, including data hosting and infrastructure support. A failure or breach by these vendors could also expose our systems and sensitive information to unauthorized access or disruption. Further, ransomware and other forms of disruptive or disabling cyber-attacks targeting utility systems and other infrastructure are continuously increasing in sophistication, magnitude and frequency, and may not be recognized until launched against a target. The use of artificial intelligence by cybercriminals may increase the frequency and severity of cybersecurity attacks, including against us or our third-party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vendors. Accordingly, we may be unable to anticipate these techniques or to entirely eliminate this risk. In addition, we may not be able to develop or acquire information technology that is competitive and responsive to the needs of our business, and we may lack sufficient resources to make the necessary upgrades or replacements of our outdated existing technology to allow us to continue to operate at our current level of efficiency. These risks may escalate during periods of heightened geopolitical tension.</w:t>
      </w:r>
    </w:p>
    <w:p>
      <w:pPr>
        <w:spacing w:after="0" w:line="7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In addition, we must comply with privacy laws such as The California Consumer Privacy Act, as amended by the California Privacy Rights Act (collectively, the “CCPA”). The CCPA requires, among other things, covered companies to provide enhanced disclosures to California consumers and to afford such consumers certain privacy rights and consumer protections. The CCPA also establishes statutory damages for victims of data security breaches, and provides additional rights for consumers to obtain their data from any business that has their personally identifying information. We are anticipating updated and finalized implementing regulations under the CCPA that may impact our compliance obligations. We are also subject to other comprehensive state privacy laws with similar obligations, including the Connecticut Data Privacy Act and the Texas Data Privacy and Security Act. While some of these laws include limited exceptions for data collected by utilities, the exceptions generally do not remove all obligations imposed by the laws.</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Moreover, additional federal and state privacy and cybersecurity laws and regulations have been passed or may be passed in the future, and they may have potential compliance obligations that impact our operations depending on whether we fall under their scope. The effects of these laws have been significant, requiring us to modify our data processing practices and policies and to incur costs and expenses for compliance. Any actual or perceived noncompliance with applicable data privacy or cybersecurity laws may lead to investigations, claims, and proceedings by governmental entities and private parties, damages for breach, and cause us to incur other significant costs, penalties, and other liabilities, as well as harm to our reputation.</w:t>
      </w:r>
    </w:p>
    <w:p>
      <w:pPr>
        <w:spacing w:after="0" w:line="98" w:lineRule="exact"/>
        <w:rPr>
          <w:sz w:val="20"/>
          <w:szCs w:val="20"/>
          <w:color w:val="auto"/>
        </w:rPr>
      </w:pPr>
    </w:p>
    <w:p>
      <w:pPr>
        <w:ind w:right="120" w:firstLine="567"/>
        <w:spacing w:after="0" w:line="255" w:lineRule="auto"/>
        <w:rPr>
          <w:sz w:val="20"/>
          <w:szCs w:val="20"/>
          <w:color w:val="auto"/>
        </w:rPr>
      </w:pPr>
      <w:r>
        <w:rPr>
          <w:rFonts w:ascii="Times New Roman" w:cs="Times New Roman" w:eastAsia="Times New Roman" w:hAnsi="Times New Roman"/>
          <w:sz w:val="18"/>
          <w:szCs w:val="18"/>
          <w:b w:val="1"/>
          <w:bCs w:val="1"/>
          <w:color w:val="auto"/>
        </w:rPr>
        <w:t>A failure of our reservoirs, storage tanks, mains or distribution networks could result in losses and damages that may adversely affect our financial condition and reputation.</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distribute water through an extensive network of mains and store water in reservoirs and storage tanks located across our service areas. The Water Utility Services’ distribution systems were constructed during the period from the early 1900’s through today. We routinely assess the operational quality of our mains and have implemented various main replacement programs throughout our service territory to better mitigate potential main failures. A failure of major mains, reservoirs, or tanks could result in injuries and damage to residential and/or commercial property for which we may be responsible, in whole or in part. The failure of major mains, reservoirs or tanks may also result in the need to shut down some facilities or parts of our water distribution network in order to conduct repairs. Such failures and shutdowns may limit our ability to supply water in sufficient quantities to our customers and to meet the water delivery requirements prescribed by governmental regulators, which could adversely affect our financial condition, results of operations, cash flow, liquidity and reputation. We also own and operate numerous dams in California, Connecticut and Maine, and a failure of such dams could result in losses and damages that may adversely affect our financial condition and reputation. Any business interruption or other losses might not be covered by existing insurance policies or be recoverable in rates, and such losses may make it difficult for us to secure insurance in the future at acceptable rates. Our insurance policies may not cover or may not be sufficient to cover the costs of these claims.</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operations of our water and wastewater treatment plants involve physical, chemical, and biological processes and the use of pumps, generators, and other industrial equipment. As a result, our operations are subject to various industrial risks, including chemical spills, discharges or releases of toxic or hazardous substances or gases, effects resulting from confined operating spaces, fires, explosions, mechanical failures, storage tank leaks, and electric shock. These risks can result in personal injury, loss of life, catastrophic damage to or destruction of property and equipment or environmental damage, and related legal proceedings, including those commenced by regulators, neighbors, or others. They may also result in an unanticipated interruption or suspension of our operations and the imposition of liability. The loss or shutdown over an extended period of operations at any of our treatment facilities or any losses relating to these risks could have a material adverse impact on our profitability, results of operations, liquidity, and cash flows.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business and financial performance may be adversely affected by high inflation.</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particularly if we are unable to achieve increases in the rates we charge our customers. There is no guarantee that any future rate increase requests will be approved and granted in a timely manner and/or will be sufficient to cover costs for the impact of high inflation. The existence of inflation in the economy has resulted in, and may continue to result in, higher interest rates and capital costs, shipping costs, supply shortages, increased costs of labor and other similar effects. As a result of inflation, we have experienced and may continue to experience, cost increases.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Work stoppages and other labor relations matters could adversely affect our business and operating results.</w:t>
      </w:r>
    </w:p>
    <w:p>
      <w:pPr>
        <w:spacing w:after="0" w:line="256"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As of December 31, 2025, 242 of our 837 total employees were union members. Most of our unionized employees are represented by the UWUA, except certain employees in the engineering department who are represented by the OE. Only employees at SJWC are union members. Both of the 3-year union contracts were signed on December 31, 2025 and will expire December 31, 2028.</w:t>
      </w:r>
    </w:p>
    <w:p>
      <w:pPr>
        <w:spacing w:after="0" w:line="8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experience difficulties and delays in the collective bargaining process to reach suitable agreements with union employees, particularly in light of increasing healthcare and pension costs. In addition, changes in applicable law and regulations could have an adverse effect on management’s negotiating position with the unions. Labor actions, work stoppages or the threat of work stoppages, and our failure to obtain favorable labor contract terms during future negotiations may adversely affect our business, financial condition, results of operations, cash flows and liquidity.</w:t>
      </w:r>
    </w:p>
    <w:p>
      <w:pPr>
        <w:spacing w:after="0" w:line="95" w:lineRule="exact"/>
        <w:rPr>
          <w:sz w:val="20"/>
          <w:szCs w:val="20"/>
          <w:color w:val="auto"/>
        </w:rPr>
      </w:pPr>
    </w:p>
    <w:p>
      <w:pPr>
        <w:ind w:right="2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safe work sites, we can be exposed to not only people impacts but also to financial losses such as penalties and other liabilities.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safety record is critical to our reputation because our business operation involves inherently dangerous activities. We maintain health and safety standards to protect our employees, customers, vendors and the public. Although we intend to adhere to such health and safety standards and aim for zero injuries, it is difficult to avoid accidents at all times.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sites, including construction and maintenance sites, often place our employees and others in close proximity with large pieces of heavy equipment, moving vehicles, pressurized water, underground trenches and vaults, chemicals and other regulated materials. On many sites we are responsible for safety and, accordingly, must implement safety procedures. If we fail to implement such procedures or if the procedures we implement are ineffective or are not followed by our employees or others, or if accidents occur outside of our control, our employees and others may be injured or die. Unsafe work sites also have the potential to increase employee turnover and raise our operating costs. Any of the foregoing could result in financial losses, which could have a material adverse impact on our business, financial condition, results of operations and cash flows.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our operations can involve the handling and storage of hazardous chemicals, which, if improperly handled, stored or disposed of, could subject us to penalties or other liabilities. We are also subject to regulations dealing with occupational health and safety. Although we maintain functional employee groups whose primary purpose is to ensure we implement effective health, safety, and environment work procedures throughout our organization, including construction sites and maintenance sites, the failure to comply with such regulations or procedures could subject us to a liability.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and Corporate Matters</w:t>
      </w:r>
    </w:p>
    <w:p>
      <w:pPr>
        <w:spacing w:after="0" w:line="144" w:lineRule="exact"/>
        <w:rPr>
          <w:sz w:val="20"/>
          <w:szCs w:val="20"/>
          <w:color w:val="auto"/>
        </w:rPr>
      </w:pPr>
    </w:p>
    <w:p>
      <w:pPr>
        <w:ind w:right="120" w:firstLine="567"/>
        <w:spacing w:after="0" w:line="255" w:lineRule="auto"/>
        <w:rPr>
          <w:sz w:val="20"/>
          <w:szCs w:val="20"/>
          <w:color w:val="auto"/>
        </w:rPr>
      </w:pPr>
      <w:r>
        <w:rPr>
          <w:rFonts w:ascii="Times New Roman" w:cs="Times New Roman" w:eastAsia="Times New Roman" w:hAnsi="Times New Roman"/>
          <w:sz w:val="18"/>
          <w:szCs w:val="18"/>
          <w:b w:val="1"/>
          <w:bCs w:val="1"/>
          <w:color w:val="auto"/>
        </w:rPr>
        <w:t>We may not have sufficient cash flow or capital resources to fund capital expenditures of our business, and our access to liquidity through the capital markets may be limited.</w:t>
      </w:r>
    </w:p>
    <w:p>
      <w:pPr>
        <w:spacing w:after="0" w:line="1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business is capital-intensive. Expenditure levels for renewal and modernization of the system will grow at an increasing rate as components reach the end of their useful lives. In addition, EPA regulations impose maximum contaminant levels and monitoring requirements for the nation’s water systems for six PFAS chemicals under the SDWA and will require an increase in capital expenditures. We also will need to raise a significant amount of debt and equity capital to complete the pending transactions with Quadvest.</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H2O America’s subsidiaries fund capital expenditures through a variety of sources, including cash received from operations, funds received from developers as contributions or advances, borrowings through lines of credit and debt financings, as well as equity financings by H2O America. We cannot provide any assurance that the historical sources of funds for capital expenditures will continue to be adequate or that the cost of funds will remain at levels permitting us to earn a reasonable rate of return. A significant change in any of the funding sources could impair the ability of Water Utility Services to fund its capital expenditures, which could impact our ability to grow our utility asset base and earnings. Any increase in the cost of capital through higher interest rates or otherwise could adversely affect our results of operations.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raise capital through equity or debt may be affected by the economy and condition of the debt and equity markets. Disruptions in the capital and credit markets or deterioration in the strength of financial institutions could adversely affect H2O America’s ability to draw on its lines of credit, issue long-term debt or sell its equity. In addition, government policies, the state of the credit markets and other factors could result in increased interest rates, which would increase H2O America’s cost of capital. Furthermore, equity financings may result in dilution to our existing stockholders and debt financings may contain covenants that restrict the actions of H2O America and its subsidiaries.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9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We have incurred substantial additional indebtedness that may reduce our business and operational flexibility and increase our borrowing costs.</w:t>
      </w:r>
    </w:p>
    <w:p>
      <w:pPr>
        <w:spacing w:after="0" w:line="1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incurred substantial indebtedness and plan to incur substantial indebtedness in the future, including to complete the transactions with Quadvest, resulting in a higher debt-to-equity ratio, which may have the effect, among other things, of:</w:t>
      </w:r>
    </w:p>
    <w:p>
      <w:pPr>
        <w:spacing w:after="0" w:line="6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flexibility to respond to changing business, industry and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borrowing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growth through capital expenditures and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other companies in our industry with less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having an adverse effect on our issuer and issue ratings;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additional cash flow to be used to service debt instead of for other purposes;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impairing our ability to obtain other financing.</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certain circumstances, we may not have sufficient funds or other resources to satisfy all of our obligations under our indebtedness, including principal and interest payments, which, if not cured, may cause an event of default. In addition, the terms and conditions of such indebtedness, including financial covenants and restrictive covenants, may reduce our business flexibility and adversely affect our business, financial condition, results of operations and prospects. The agreements governing the indebtedness contain covenants that impose significant operating and financial limitations and restrictions on us, including restrictions on the ability to enter particular transactions and engage in other activities that we may believe will be advisable or necessary for our business.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borrowings include certain financial covenants regarding a maximum debt to equity ratio and an interest coverage requirement for us and certain subsidiaries. In the event the relevant borrower exceeds the maximum debt to equity ratio or interest coverage requirement, we may be restricted from issuing future debt. Additionally, certain covenants include restrictions on cash dividends paid based on restricted net assets. Further, we have issued certain revenue bonds that contain affirmative and negative covenants customary for a loan agreement relating to revenue bonds, including, among other things, certain disclosure obligations, the tax exempt status of the interest on the bonds, and limitations and prohibitions on the transfer of projects funded by the loan proceeds and assignment of the loan agreement. Failure to comply with any of the covenants in our existing or future debt agreements could result in a default under those agreements and under other existing agreements containing cross-default provisions. A default would permit lenders to accelerate the maturity of indebtedness under these agreements, which would have an adverse effect on our business operations and financial condition.</w:t>
      </w:r>
    </w:p>
    <w:p>
      <w:pPr>
        <w:spacing w:after="0" w:line="120" w:lineRule="exact"/>
        <w:rPr>
          <w:sz w:val="20"/>
          <w:szCs w:val="20"/>
          <w:color w:val="auto"/>
        </w:rPr>
      </w:pPr>
    </w:p>
    <w:p>
      <w:pPr>
        <w:ind w:right="4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H2O America has committed to certain “ring-fencing” measures which will enhance CTWS’s separateness from H2O America, which may limit H2O America’s ability to influence the management and policies of CTWS (beyond the limitations included in other existing governance mechanisms).</w:t>
      </w:r>
    </w:p>
    <w:p>
      <w:pPr>
        <w:spacing w:after="0" w:line="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Pursuant to the agreements related to the acquisition of CTWS and commitments made by H2O America as part of the application for PURA and MPUC approval of the acquisition of CTWS, H2O America has instituted certain “ring-fencing” measures to enhance CTWS’s separateness from H2O America and to mitigate the risk that CTWS would be negatively impacted in the event of a bankruptcy or other adverse financial developments affecting H2O America or its non-ring-fenced affiliates. These commitments became effective upon the closing of the acquisition.</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order to satisfy the ring-fencing commitments, H2O America formed H2O America NE LLC a wholly owned special purpose entity (“SPE”), to own the capital stock of CTWS. The SPE, CTWS and its subsidiaries (collectively, the “CTWS Entities”) adopted certain measures designed to enhance their separateness from H2O America, with the intention of mitigating the effects on the CTWS Entities of any bankruptcy of H2O America and its affiliates other than the CTWS Entities (collectively, the “Non-CTWS Entities”). As a result of these ring-fencing measures, in certain situations, H2O America will be restricted in its ability to access assets of the CTWS Entities as dividends or intercompany loans to satisfy the debt or contractual obligations of any Non-CTWS Entity, including any indebtedness or other contractual obligations of H2O America. In addition, the ring-fencing structure may negatively impact H2O America’s ability to achieve certain benefits, including synergies and economies of scale to reduce operating costs of the combined entity, that it anticipates will result from the merger. This ring-fencing structure also subjects H2O America and the CTWS Entities to certain governance, operational and financial restrictions since the closing of the merger. Accordingly, H2O America may be restricted in its ability to direct the management, policies and operations of the CTWS Entities, including the deployment or disposition of their respective assets, declarations of dividends, strategic planning and other important corporate issues. Furthermore, the CTWS Entities’ directors have considerable autonomy and, as described in our commitments, have a duty to act in the best interest of the CTWS Entities consistent with the ring-fencing structure and applicable law, which may be contrary to H2O America’s best interests or be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opposition to H2O America’s preferred strategic direction for the CTWS Entities. To the extent they take actions that are not in H2O America’s interests, our financial condition, results of operations and prospects may be materially adversely affected.</w:t>
      </w:r>
    </w:p>
    <w:p>
      <w:pPr>
        <w:spacing w:after="0" w:line="90" w:lineRule="exact"/>
        <w:rPr>
          <w:sz w:val="20"/>
          <w:szCs w:val="20"/>
          <w:color w:val="auto"/>
        </w:rPr>
      </w:pPr>
    </w:p>
    <w:p>
      <w:pPr>
        <w:ind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strategy, which includes acquiring water systems and expanding non-tariffed services, will expose us to new risks which could have a material adverse effect on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focuses on the following:</w:t>
      </w:r>
    </w:p>
    <w:p>
      <w:pPr>
        <w:spacing w:after="0" w:line="117" w:lineRule="exact"/>
        <w:rPr>
          <w:sz w:val="20"/>
          <w:szCs w:val="20"/>
          <w:color w:val="auto"/>
        </w:rPr>
      </w:pPr>
    </w:p>
    <w:p>
      <w:pPr>
        <w:ind w:left="1300" w:hanging="1049"/>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regulated water utility operations (includes water and wastewater);</w:t>
      </w:r>
    </w:p>
    <w:p>
      <w:pPr>
        <w:spacing w:after="0" w:line="117" w:lineRule="exact"/>
        <w:rPr>
          <w:rFonts w:ascii="Times New Roman" w:cs="Times New Roman" w:eastAsia="Times New Roman" w:hAnsi="Times New Roman"/>
          <w:sz w:val="18"/>
          <w:szCs w:val="18"/>
          <w:color w:val="auto"/>
        </w:rPr>
      </w:pPr>
    </w:p>
    <w:p>
      <w:pPr>
        <w:ind w:left="1300" w:right="180" w:hanging="1049"/>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applicable state public utility commissions; and</w:t>
      </w:r>
    </w:p>
    <w:p>
      <w:pPr>
        <w:spacing w:after="0" w:line="53"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16"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time-to-time opportunities to acquire businesses and assets. The proposed transactions with Quadvest are an example of this strategy.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H2O America’s financial position and operating results, entering markets in which H2O America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H2O America cannot be certain that any transaction will be successful or that it will not materially harm operating results or our financial condition.</w:t>
      </w:r>
    </w:p>
    <w:p>
      <w:pPr>
        <w:spacing w:after="0" w:line="119" w:lineRule="exact"/>
        <w:rPr>
          <w:sz w:val="20"/>
          <w:szCs w:val="20"/>
          <w:color w:val="auto"/>
        </w:rPr>
      </w:pPr>
    </w:p>
    <w:p>
      <w:pPr>
        <w:ind w:right="8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An impairment in the carrying value of our goodwill could negatively impact our consolidated results of operations and financial condition.</w:t>
      </w:r>
    </w:p>
    <w:p>
      <w:pPr>
        <w:spacing w:after="0" w:line="9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significant amounts of goodwill resulting from the acquisition of businesses. As of December 31, 2025, consolidated goodwill totaled $640.3 million, or 12% of our total assets. Goodwill represents the excess of amounts paid for acquired businesses over the fair value of the net assets acquired. Goodwill is not amortized but is tested for impairment annually on October 1st or more frequently if an event occurs or circumstances change that would more likely than not reduce the fair value of a reporting unit below its carrying amount. Such events or circumstances could include changes in performance relative to expected operating results, significant negative industry or economic trends, including rising interest rates, or a significant decline in our stock price and/or market capitalization for a sustained period of time. If certain factors arise, we may be required to record a significant charge to earnings in our consolidated financial statements during the period in which an impairment of our goodwill is determined. Any such charge could have a material adverse impact on our results of operations and financial condition.</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Adverse investment returns and other factors may increase our pension costs and pension plan funding requirements.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substantial number of our employees are covered by defined benefit pension plans. Our pension costs and the funded status of the plans are affected by a number of factors including the discount rate, applicable mortality tables, mortality rates of plan participants, investment returns on plan assets, and pension reform legislation. Any change in such factors could result in an increase in future pension costs and an increase in our pension liabilities, requiring an increase in plan contributions which may adversely affect our financial conditions and results of operations.</w:t>
      </w:r>
    </w:p>
    <w:p>
      <w:pPr>
        <w:spacing w:after="0" w:line="68"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H2O America’s dividend policy is subject to the discretion of our board of directors and may be limited by legal and contractual requirements.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anticipate continuing to pay a regular quarterly dividend, though any such determination to pay dividends will be at the discretion of our board of directors and will be dependent on then-existing conditions, including our financial condition, earnings, legal requirements, including limitations under Delaware law, restrictions in our credit agreements and other debt instruments that limit our ability to pay dividends to stockholders, and other factors the board of directors deems relevant. The board of directors of H2O America may, in its sole discretion, change the amount or frequency of dividends or discontinue the payment of dividends entirely.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H2O America is a holding company that depends on cash flow from its subsidiaries to meet its financial obligations and pay dividends on its common stock.</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holding company, we conduct substantially all of our operations through subsidiaries and our only significant assets are investments in those subsidiaries. This means that we are dependent on distributions of funds from our subsidiaries to meet H2O America’s debt service obligations and to pay dividends on our common stock. Our subsidiaries are separate and distinct legal entities and generally have no obligation to pay any amounts due on H2O America’s debt or to provide H2O America with funds for dividends. Our subsidiaries only pay dividends if and when declared by their respective boards of directors. Additionally, our subsidiaries may be subject to restrictions on their ability to pay dividends to us, including under state law, pursuant to regulatory commitments, and under their credit agreements and other debt instruments. In this regard, the CTWS Entities are limited from paying dividends to us in certain circumstances under PURA and MPUC regulatory commitments. Furthermore, our right to receive cash or other assets in the unlikely event of liquidation or reorganization of any of our subsidiaries is generally subject to the prior claims of creditors of that subsidiary. Any inability of our subsidiaries to pay us dividends may have a material and adverse effect on our ability to pay dividends to our stockholders, meet our financial obligations, or make additional investments.</w:t>
      </w:r>
    </w:p>
    <w:p>
      <w:pPr>
        <w:spacing w:after="0" w:line="82"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charter documents and Delaware law could prevent a takeover that stockholders consider favorable and could also make it more difficult for stockholders to influence our policies or may reduce the rights of stockholders.</w:t>
      </w:r>
    </w:p>
    <w:p>
      <w:pPr>
        <w:spacing w:after="0" w:line="8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H2O America</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Certificate of Incorporation and Bylaws contain provisions that could delay or prevent a change in control of H2O America. These provisions could also make it more difficult for our stockholders to remove or replace directors or take other corporate actions. These provisions include, but are not limited to, the following:</w:t>
      </w:r>
    </w:p>
    <w:p>
      <w:pPr>
        <w:spacing w:after="0" w:line="65" w:lineRule="exact"/>
        <w:rPr>
          <w:sz w:val="20"/>
          <w:szCs w:val="20"/>
          <w:color w:val="auto"/>
        </w:rPr>
      </w:pPr>
    </w:p>
    <w:p>
      <w:pPr>
        <w:ind w:left="1300" w:hanging="1049"/>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Board of Directors to issue “blank check” preferred stock;</w:t>
      </w:r>
    </w:p>
    <w:p>
      <w:pPr>
        <w:spacing w:after="0" w:line="117"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17" w:lineRule="exact"/>
        <w:rPr>
          <w:rFonts w:ascii="Times New Roman" w:cs="Times New Roman" w:eastAsia="Times New Roman" w:hAnsi="Times New Roman"/>
          <w:sz w:val="18"/>
          <w:szCs w:val="18"/>
          <w:color w:val="auto"/>
        </w:rPr>
      </w:pPr>
    </w:p>
    <w:p>
      <w:pPr>
        <w:ind w:left="1300" w:right="820" w:hanging="1049"/>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 special meeting of stockholders to only stockholders holding not less than 20% of outstanding voting power; and</w:t>
      </w:r>
    </w:p>
    <w:p>
      <w:pPr>
        <w:spacing w:after="0" w:line="53"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 of directors and proposals.</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Corporate Law (“DGCL”) govern H2O America. These provisions may prohibit large stockholders, in particular those owning 15% or more of our outstanding voting stock, from merging or combining with us for a certain period of time without the consent of the Board of Directors.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H2O America’s Certificate of Incorporation provides, unless the company consents in writing to the selection of an alternate forum, (a) a state or federal court located within the State of Delaware is the sole and exclusive forum for (i) any derivative action or proceeding brought on behalf of H2O America, (ii) any action asserting a claim of breach of a fiduciary duty owed by any director, officer or other employee of H2O America to the company or its stockholders, (iii) any action asserting a claim arising pursuant to any provision of the DGCL, or (iv) any action asserting a claim governed by the internal affairs doctrine; and (b) the U.S. federal district courts is the sole and exclusive forum for any claim arising under the Securities Act of 1933 (unless such provision is deemed illegal, invalid or unenforceable, in which case the sole exclusive state court forum for any claim arising under the Securities Act of 1933 will be the Court of Chancery in the State of Delaware). Such “exclusive forum” provisions may limit a stockholder’s ability to bring a claim in a judicial forum that it finds favorable for disputes with H2O America or its directors, officers or other employees, which may discourage such lawsuits.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may not be able to maintain adequate insurance coverage at reasonable costs, or at all, to cover all losses incurred in our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insurance coverage as part of our overall legal and risk management strategy to minimize potential liabilities arising from our operations. Our insurance programs have varying coverage limits, deductibles, exclusions and maximums, and our insurance coverages include: worker’s compensation, employer’s liability, damage to our property, general liability, pollution liability, cybersecurity, and automobile liability. Each policy includes either deductibles or self-insured retentions and policy limits for covered claims. As a result, we may sustain losses that exceed or are excluded from our insurance coverage or for which we are self-insured. The insurance companies may also seek to challenge, reduce or deny any claims we submit, which may prevent us from recovering fully the losses we incurred. In addition, insurance companies may increase premiums or deductibles or reduce coverage limits based on factors that are beyond our control, including industry trends, financial conditions of insurance companies and catastrophic events such as wildfire, earthquake and pandemic. There can be no assurance that we can secure all necessary or appropriate insurance in the future, or that such insurance can be obtained at reasonable cost, or at all.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operate in areas subject to natural disasters, and we may be the target of terrorist activities and other physical threats.</w:t>
      </w:r>
    </w:p>
    <w:p>
      <w:pPr>
        <w:spacing w:after="0" w:line="12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We operate in areas that are prone to earthquakes, fires, floods, extreme weather and other natural disasters. A significant seismic event in northern California, where the majority of our operations are concentrated, or other natural disaster in northern California, Connecticut, Texas or Maine could adversely impact our ability to deliver water to our customers and our costs of operations. A major disaster could damage or destroy our capital assets, harm our reputations and adversely affect our results of operations. The Regulators have historically allowed utilities to establish catastrophic event memorandum accounts as a possible mechanism to recover costs, such as the CEMA memorandum account in California. However, we can give no assurance that our regulators, or any other commission, would allow any such cost recovery mechanism in the future.</w:t>
      </w:r>
    </w:p>
    <w:p>
      <w:pPr>
        <w:spacing w:after="0" w:line="7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light of the potential threats to the nation’s health and security due to terrorist attacks, we have taken steps to increase security measures at our facilities and heighten employee awareness of threats to our water supply. We have also tightened our security measures regarding the delivery and handling of certain chemicals used in our business. In addition, because our operation requires us to interact extensively with the general public, we may be subject to complaints, threats and potentially violent actions by our customers or the public, which may disrupt our business activities and damage our reputation.</w:t>
      </w:r>
    </w:p>
    <w:p>
      <w:pPr>
        <w:spacing w:after="0" w:line="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and will continue to bear increased costs for security precautions to protect our facilities, operations and supplies. These costs may be significant. While some of these costs are likely to be recovered in the form of higher rates, there can be no assurance that the Regulators will approve a rate increase to recover all or part of such costs and, as a result, our operating results and business may be adversely affected. Further, despite these tightened security measures, we may not be in a position to control the outcome of terrorist events should they occur.</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operations, liquidity, and earnings may be adversely affected by wildfires and risk of fire hazards.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It is possible that wildfires and other fire hazards may occur more frequently, be of longer duration or impact larger areas as a result of drought-damaged plants and trees, lower humidity or higher winds that might be occurring as a result of changed weather patterns. The effects of these natural disasters in California’s drought-prone areas, such as the Santa Cruz Mountains, the watershed of which SJWC owns approximately 6,400 acres and where SJWC typically obtains approximately up to 10% of its water supply, may temporarily compromise its surface water supply resulting in disruption in our services and litigation which could adversely affect our business, operating results, and financial condition.</w:t>
      </w:r>
    </w:p>
    <w:p>
      <w:pPr>
        <w:spacing w:after="0" w:line="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our surface water supply is compromised, we may have to interrupt the use of that water supply until we are able to substitute the flow of water from an alternative water source.</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may incur significant costs in order to treat the impacted source through expansion of our current treatment facilities, or development of new treatment methods. If we are unable to substitute water supply from an alternative water source, or to adequately treat the impacted water source in a cost-effective manner, there may be an adverse effect on our revenues, operating results, and financial condition. The costs we incur to secure an alternative water source or an increase in draws from our underground water system could be significant and may not be recoverable in rates.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Wildfires may destroy or cause damage to properties, facilities, equipment and other assets owned and operated by SJWC or result in personal injuries to our employees and personnel, which may cause temporary or permanent disruption to our water services. In such a case, we may be required to incur significant expenses to repair, replace or upgrade our assets, or to defend against costly litigation or disputes with third parties, any of which may adversely affect our business operations or financial conditions.</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While we maintain a business insurance policy, such policy includes limitation and retention that may reduce, or in some cases eliminate, our ability to recover all or a substantial portion of the losses and damages due to wildfire. Our inability to rely fully on insurance coverage may negatively impact our results of operations. Losses by insurance companies resulting from wildfires may also cause insurance coverage for wildfire risks to become more expensive or unavailable under reasonable terms, and our insurance may be inadequate to recover all our losses incurred in a wildfire. Furthermore, we might not be allowed to recover in our rates any increased costs of wildfire insurance or the costs of any uninsured wildfire losses.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price of our common stock may be volatile and may be affected by market conditions beyond our control.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fluctuate in the future based on a variety of factors, many of which are beyond our control and unrelated to our financial results. Factors that could cause fluctuations in the trading price of our common stock include volatility of the general stock market or the utility index, regulatory developments, public announcement or market assumptions of material developments in strategic transactions, general economic conditions and trends, actual or anticipated changes or fluctuations in our results of operations, actual or anticipated changes in the expectations of investors or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analysts, actual or anticipated developments in our competitors’ businesses or the competitive landscape generally, litigation involving us or our industry, and major catastrophic event(s) or sales of large blocks of our stock. Furthermore, we believe that stockholders invest in public stocks in part because they seek reliable dividend payments. If there is an oversupply of stock of public utilities in the market relative to demand by such investors, the trading price of our common stock may decrease. Additionally, if interest rates rise above the dividend yield offered by our common stock, demand for our stock and its trading price may also decrease.</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must continue to attract and retain qualified technical and managerial personnel in order to succeed.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future success depends substantially upon our ability to attract and retain highly skilled technical, operational and financial managers. There is significant competition for such personnel in our industry. Our ability to recruit and retain qualified personnel depends on many factors, including but are not limited to, our ability to provide competitive compensation and benefit packages, availability of talents in our industry, general workforce trends and macroeconomic conditions. The loss of the services of any member of our management team or the inability to hire and retain experienced management personnel could have an adverse effect on our business, as our management team has knowledge of our industry and customers and would be difficult to replace. We believe we offer competitive compensation and benefits as well as conduct succession planning and provide opportunities for continued development, and we continually strive to recruit and train qualified personnel and retain key employees. There can be no assurance, however, that we will continue to be successful in attracting and retaining the personnel we require to grow and operate profitably.</w:t>
      </w: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taken critical steps to ensure the security and protection of our computer systems and networks. Our processes for assessment, identification and management of material risks from cybersecurity threats include routine monitoring of vulnerabilities, evaluations of new service providers, written policies for incident identification and management, and regular testing and assessment of our cybersecurity posture.</w:t>
      </w:r>
    </w:p>
    <w:p>
      <w:pPr>
        <w:spacing w:after="0" w:line="68"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7"/>
          <w:szCs w:val="17"/>
          <w:color w:val="auto"/>
        </w:rPr>
        <w:t>We have integrated cybersecurity risk management as part of our company-wide culture. The measures undertaken include, but are not limited to, monthly cybersecurity training for all employees and frequent communication to all employees on the importance of cybersecurity measures. We continue to advance our cybersecurity governance program and are evolving key practices to align with the National Institute of Standards and Technology (“NIST”) Cybersecurity Framework. These efforts include strengthening our risk assessment processes, control environment, and incident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response capabilities.</w:t>
      </w:r>
    </w:p>
    <w:p>
      <w:pPr>
        <w:spacing w:after="0" w:line="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have engaged third-party experts to assist us in monitoring and managing our cybersecurity process. Furthermore, we monitor cybersecurity threats at certain of our third-party vendors on a regular basis. As of the date of this report, we are not aware of any material risks from cybersecurity threats that have materially affected or are reasonably likely to materially affect the company, including our business strategy, results of operations, or financial condition. We have discussed cybersecurity risks that may affect the company in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under the headings, “The necessity for ongoing physical and technological security has resulted, and may continue to result, in increased operating costs,” “Water Utility Services rely on information technology and systems that are key to business operations. A system malfunction, security breach, cyber-attacks or other disruption that compromises our information and expose us to liability and adversely affect business operations. In addition, noncompliance could expose us to liability and adversely affect business operations,” and “We may not be able to maintain adequate insurance coverage at reasonable costs, or at all, to cover all losses incurred in our operations.”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implemented an internal risk assessment process that focuses on the principal risks that have been identified for us, including risks associated with our regulatory environment, business operations and continuity, compliance requirements, information technology and data storage and retrieval facilities, cyber risk, insurance coverage. The Audit Committee, pursuant to its charter, meets at least quarterly with senior leadership and other employees to discuss identified risks and the measures taken to control, manage and mitigate those risks, which include cyber and information security risk. On the basis of these meetings and discussions regarding such risks, the Chairman of the Audit Committee reports periodically to the full Board. The Vice President, Information Security Officer provides cybersecurity updates to the Audit Committee and other members of our senior management as appropriate at least quarterly. Our Vice President, Information Security Officer, and his team is responsible for leading enterprise-wide cybersecurity strategy, policy, standards, architecture, and processes, with the support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third-party experts. The Vice President, Information Security Officer has over 30 years of experience in information technology of which over 20 years is in cybersecurity, with industry experience in utilities, banking and e-commerce.</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properties of SJWC consist of a unified water production system located in the County of Santa Clara in the State of California. In general, the property is comprised of franchise rights, water rights, necessary rights-of-way, approximately 6,400 acres of land held in fee (which is primarily non-developable watershed), impounding reservoirs with a capacity of approximately 2,256 million gallons, 2,481 miles of transmission and distribution mains, distribution storage of approximately 192 million gallons, wells, boosting facilities, diversions, surface water treatment plants, equipment, office buildings and other property necessary to provide water service to its customers.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SJWC maintains all of its properties in proper operating condition in accordance with customary practices for water utilities. SJWC’s groundwater pumping stations have a production capacity of approximately 261 million gallons per day and the present capacity for taking purchased water is approximately 84 million gallons per day. The surface water collection system has a physical delivery capacity of approximately 35 million gallons per day. During 2025, a maximum and average of 128 million gallons and 91 million gallons of water per day, respectively, were delivered to the system.</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properties of CTWS consist of land, easements, rights (including water rights), buildings, reservoirs with a capacity of approximately 9,400 million gallons, standpipes, dams, wells, supply lines, water treatment plants, pumping plants, 2,340 miles of transmission and distribution mains and other facilities and equipment used for the collection, purification, storage and distribution of water throughout Connecticut and Maine. In certain cases, CWC and MWC are or may be a party to limited contractual arrangements for the provision of water supply from neighboring utilities.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Sources of water supply owned, maintained and operated by CTWS include 25 surface water reservoirs and 108 well fields. In addition, CWC and MWC have agreements with various neighboring water utilities to provide water, at negotiated rates, to our water systems. Collectively, these sources have the capacity to deliver approximately 80 million gallons of potable water daily to the 27 major operating systems. CTWS also owns, maintains and operates 50 small, non-interconnected satellite and consecutive water systems, that combined, have the ability to deliver approximately 3.5 million gallons of additional water per day to their respective systems. CTWS’s 30 water treatment plants have a combined treatment capacity of approximately 50 million gallons per day. In addition, CTWS owns and operates one wastewater treatment plant with a capacity of 0.78 million gallons per day.</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properties of TWC consist of land, easements, rights (including water rights), buildings, reservoirs, standpipes, wells, supply lines, water treatment plants, pumping plants, 844 miles of transmission and distribution mains and other facilities and equipment used for the collection, purification, storage and distribution of water throughout its service area. TWC maintains a service area that covers approximately 271 square miles located in the southern region of the Texas hill country in Bandera, Blanco, Comal, Hays, Kendall, Medina and Travis counties. The majority of the service area surrounds an 8,200-surface acre reservoir, Canyon Lake. TWC production wells and all sources of supply have the ability to pump a combined 5,400 million gallons annually. TWC has contracts for 2,000 million gallons of untreated surface water and 480 million gallons of treated surface water from the GBRA annually, and 114 million gallons of treated surface water from LCRA. TWC owns and operates three surface water treatment plants with a combined production capacity of 9 million gallons per day. TWC maintains 90 storage tanks with a total storage capacity of 17 million gallons. TWC owns and operates four wastewater treatment plants with a combined capacity of 337,000 gallons per day. In August 2023, TWR acquired eight wells and the water rights of KTR. During the third quarter of 2024, TWC purchased these assets from TWR for use in utility operations. These wells have been projected to yield an additional 6,000 acre-feet per year or more.</w:t>
      </w:r>
    </w:p>
    <w:p>
      <w:pPr>
        <w:spacing w:after="0" w:line="8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Water Utility Services holds all of its principal properties in fee simple, subject to current tax and assessment liens, rights-of-way, easements, and certain minor defects in title which do not materially affect their use. A substantial portion of treatment, storage and distribution properties owned by MWC are subject to indentures that secure bonds, notes and other evidence of long-term indebtedness.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H2O America Land Company and Chester Realty, Inc. own approximately 101 acres of property in the State of California and 23 acres of property in State of Connecticut.</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and its subsidiaries are subject to ordinary routine litigation incidental to its business.</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October 2023, CWC, a subsidiary of H2O America, was named as a defendant in a putative class action lawsuit alleging that the water provided by CWC contained contaminants. The case is currently pending in the State of Connecticut Superior Court.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CWC is vigorously defending itself in this lawsuit. H2O America is unable to provide a reasonable estimate of loss, if any, at this time.</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SJWC and CWC are plaintiffs in a lawsuit for the benefit of our customers against manufacturers and/or sellers of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Multi-District Litigation (“MDL”), that commenced on December 7, 2018, in the United States District Court for the District of South Carolina. MWC has submitted timely claims as a settlement class member.</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defendants for potential impacts to the various claims that these utility subsidiaries have asserted.</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Company received cash proceeds of $25.1 million, in connection with legal settlements with 3M Company and DuPont de Nemours, Inc. related to PFAS contamination. The proceeds were allocated as follows: SJWC received $17.0 million; CWC received $7.6 million; and MWC received $0.5 million, which includes $0.3 million payable to contract operators. The proceeds are compensatory in nature and are intended to compensate the Company for costs incurred, or to be incurred, to address the presence of PFAS compounds in public water supply systems and have been recorded in accordance with applicable regulatory accounting treatment, subject to regulatory approval.</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H2O America is entitled to receive additional cash proceeds from 3M Company over the subsequent eight years, pursuant to the terms of the settlement agreement. In addition, the Company is party to class action settlements with Tyco Fire Products LP and BASF Corporation.</w:t>
      </w:r>
    </w:p>
    <w:p>
      <w:pPr>
        <w:spacing w:after="0" w:line="54"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H2O America is monitoring and evaluating the ongoing litigation and settlement activity with the PFAS defendants for potential impacts to the various claims that these utility subsidiaries have asserted. However, the amount of any additional proceeds is not estimable as of the date of this filing.</w:t>
      </w:r>
    </w:p>
    <w:p>
      <w:pPr>
        <w:spacing w:after="0" w:line="1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580" w:right="1600" w:hanging="566"/>
        <w:spacing w:after="0" w:line="346"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 xml:space="preserve">Market for Registrant’s Common Equity, Related Stockholder Matters and Issuer Purchases of Equity Securities </w:t>
      </w:r>
      <w:r>
        <w:rPr>
          <w:rFonts w:ascii="Times New Roman" w:cs="Times New Roman" w:eastAsia="Times New Roman" w:hAnsi="Times New Roman"/>
          <w:sz w:val="18"/>
          <w:szCs w:val="18"/>
          <w:b w:val="1"/>
          <w:bCs w:val="1"/>
          <w:color w:val="auto"/>
        </w:rPr>
        <w:t>Market Information</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Since November 8, 2024, H2O America’s common stock has been trading on the Nasdaq Global Select Market under the symbol “SJW”. Effective May 5, 2025 as a result of a change in the Company’s corporate name the ticker symbol was changed to “HTO.” Prior to November 8, 2024, H2O America’s common stock was traded on the New York Stock Exchange. As of February 19, 2026, there were 242 record holders of H2O America’s common stock, excluding those shares held in street or nominee name.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Five-Year Performance Graph</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changes in the cumulative stockholder return on H2O America’s common stock with the cumulative total return on a Water Utility Index and the Standard &amp; Poor’s 500 Index during the last five years ended December 31, 2025. The comparison assumes $100 was invested on December 31, 2020 in H2O America’s common stock and in each of the foregoing indices and assumes reinvestment of dividends.</w:t>
      </w:r>
    </w:p>
    <w:p>
      <w:pPr>
        <w:spacing w:after="0" w:line="36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Among H2O America, a Water Utility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53975</wp:posOffset>
            </wp:positionV>
            <wp:extent cx="5863590" cy="2854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descriptive data of the performance graph is supplied in accordance with Rule 304(d) of Regulation S-T (numbers represent U.S. dollars ($)):</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H2O America</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80</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 Utility Index</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10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9"/>
              </w:rPr>
              <w:t>89</w:t>
            </w:r>
          </w:p>
        </w:tc>
        <w:tc>
          <w:tcPr>
            <w:tcW w:w="100" w:type="dxa"/>
            <w:vAlign w:val="bottom"/>
          </w:tcPr>
          <w:p>
            <w:pPr>
              <w:spacing w:after="0"/>
              <w:rPr>
                <w:sz w:val="19"/>
                <w:szCs w:val="19"/>
                <w:color w:val="auto"/>
              </w:rPr>
            </w:pPr>
          </w:p>
        </w:tc>
        <w:tc>
          <w:tcPr>
            <w:tcW w:w="110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9"/>
              </w:rPr>
              <w:t>91</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6"/>
              </w:rPr>
              <w:t>166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6"/>
              </w:rPr>
              <w:t>196</w:t>
            </w:r>
          </w:p>
        </w:tc>
      </w:tr>
    </w:tbl>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Water Utility Index is an equal-weight index comprised of eight U.S.-based water utilities. The above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3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3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(Dollar amounts in thousands, except where otherwise noted)</w:t>
      </w:r>
    </w:p>
    <w:p>
      <w:pPr>
        <w:spacing w:after="0" w:line="4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“Forward-Looking Statements,” Part 1, Item 1 “Business,” Part I, Item 1A “Risk Factors,” and our consolidated financial statements and notes included under Item 8 of this Annual Report on Form 10-K. The following sections include a discussion of results for the year ended December 31, 2025 compared to the year ended December 31, 2024. Unless otherwise provided herein, the comparative results for the year ended December 31, 2024 with for the year ended December 31, 2023 may be found in “Part II - Item 7. Management’s Discussion and Analysis of Financial Condition and Results of Operations” of the company’s Annual Report on Form 10-K for the year ended December 31, 2024.</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focuses its business initiatives in three strategic areas:</w:t>
      </w:r>
    </w:p>
    <w:p>
      <w:pPr>
        <w:spacing w:after="0" w:line="117" w:lineRule="exact"/>
        <w:rPr>
          <w:sz w:val="20"/>
          <w:szCs w:val="20"/>
          <w:color w:val="auto"/>
        </w:rPr>
      </w:pPr>
    </w:p>
    <w:p>
      <w:pPr>
        <w:ind w:left="1220" w:hanging="645"/>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regional regulated water utility operations to support the health, safety and quality of life of our customers;</w:t>
      </w:r>
    </w:p>
    <w:p>
      <w:pPr>
        <w:spacing w:after="0" w:line="117" w:lineRule="exact"/>
        <w:rPr>
          <w:rFonts w:ascii="Times New Roman" w:cs="Times New Roman" w:eastAsia="Times New Roman" w:hAnsi="Times New Roman"/>
          <w:sz w:val="18"/>
          <w:szCs w:val="18"/>
          <w:color w:val="auto"/>
        </w:rPr>
      </w:pPr>
    </w:p>
    <w:p>
      <w:pPr>
        <w:ind w:left="1220" w:right="220" w:hanging="645"/>
        <w:spacing w:after="0" w:line="282" w:lineRule="auto"/>
        <w:tabs>
          <w:tab w:leader="none" w:pos="12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applicable state public utility commissions; and</w:t>
      </w:r>
    </w:p>
    <w:p>
      <w:pPr>
        <w:spacing w:after="0" w:line="5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Regional Regulated Activities</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H2O America’s regulated utility operation is conducted through SJWC, CWC, TWC and MWC. H2O America plans and applies a diligent and disciplined approach to maintaining and improving its water system infrastructures and also seeks to acquire regulated water systems adjacent to or near its existing service territory. CWC and TWC also provide regulated wastewater services.</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United States water utility industry is largely fragmented and is dominated by municipal-owned water systems. The water industry is regulated, and provides a life-sustaining product. This makes water utilities subject to lower business cycle risks than non-tariffed industries.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Regional Non-tariffed Activities</w:t>
      </w:r>
    </w:p>
    <w:p>
      <w:pPr>
        <w:spacing w:after="0" w:line="11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 xml:space="preserve">Non-tariffed services provided by H2O America’s subsidiaries include water system operations, maintenance agreements, antenna site leases under agreements with municipalities and other utilities, wholesale water service to adjacent utilities, wastewater services, and </w:t>
      </w:r>
      <w:r>
        <w:rPr>
          <w:rFonts w:ascii="Times New Roman" w:cs="Times New Roman" w:eastAsia="Times New Roman" w:hAnsi="Times New Roman"/>
          <w:sz w:val="18"/>
          <w:szCs w:val="18"/>
          <w:i w:val="1"/>
          <w:iCs w:val="1"/>
          <w:color w:val="auto"/>
        </w:rPr>
        <w:t>Linebacker</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optional service line protection program covering a limited amount of the cost of repairs for leaking or broken water and wastewater service lines and in-home plumbing to eligible residential customers in Connecticut and water service lines to eligible residential customers in Maine.</w:t>
      </w:r>
    </w:p>
    <w:p>
      <w:pPr>
        <w:spacing w:after="0" w:line="13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H2O America also seeks appropriate non-tariffed business opportunities that complement its existing operations or that allow it to extend its core competencies beyond existing operations. H2O America seeks opportunities to fully utilize its capabilities and existing capacity by providing services to other regional water systems, which also will benefit its existing regional customers.</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Out-of-Region Opportunities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H2O America also from time to time pursues opportunities to participate in out-of-region water and utility related services, particularly regulated water and wastewater businesses. H2O America evaluates out-of-region and out-of-state opportunities that meet H2O America’s risk and return profile.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H2O America considers in evaluating such opportunities include:</w:t>
      </w:r>
    </w:p>
    <w:p>
      <w:pPr>
        <w:spacing w:after="0" w:line="117" w:lineRule="exact"/>
        <w:rPr>
          <w:sz w:val="20"/>
          <w:szCs w:val="20"/>
          <w:color w:val="auto"/>
        </w:rPr>
      </w:pPr>
    </w:p>
    <w:p>
      <w:pPr>
        <w:ind w:left="1620" w:hanging="80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profitability;</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growth opportunities within the region;</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supply, water quality and environmental issues;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potential.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time-to-time opportunities to acquire businesses and assets. The proposed transactions with Quadvest are an example of this strategy.</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Quadvest acquisition</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previously disclosed, H2O America, through its indirect subsidiary, TWC, is set to acquire regulated systems owned by Quadvest, L.P. for $483,600, and TWOS will acquire systems owned by Quadvest Wholesale LLC for $56,400. Please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“Acquisitions” for further discussion. On the completion of this acquisition, we expect Quadvest will bring operational scale, a strong development pipeline, and increased exposure to one of America’s fastest growing regions, Houston, TX. Quadvest brings a strong legacy of local relationships and reliable service. It has been providing water and sewer service in Southeast Texas for nearly 50 years through its operating entities.</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9, 2025, TWC filed a request with the PUCT to use FMV to support its acquisition of Quadvest, L.P. On August 7, 2025, the PUCT appointed three appraisers to determine the FMV. In December 2025 TWC, received the appraised FMV from the three PUCT appointed appraisers for the assets of Quadvest L.P. In accordance with Texas’ FMV statute, the purchase price of $483,600 will serve as the ratemaking rate base. TWC filed its STM application with the PUCT in January 2026.</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Water Utility Services is our single reportable segment. Other business activities that are not separately reportable segments are SJWC’s City of Cupertino service concession arrangement operations, H2O America Land Company and Chester Realty, Inc, contract water and sewer operations and other water-related services provided by NEWUS and are collectively referred to as “Other Services.”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H2O America has identified accounting estimates delineated below as estimates critical to its business operations and the understanding of the results of operations. The preparation of consolidated financial statements requires management to make estimates and assumptions that affect the reported amounts of assets and liabilities at the date of the consolidated financial statements and revenues and expenses during the reporting period. H2O America bases its estimates on historical experience and other assumptions that are believed to be reasonable under the circumstances. For a detailed discussion on the application of these and other accounting policies,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Consolidated Financial Statements.” H2O America’s critical accounting estimates are as follows:</w:t>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Recognition of Regulatory Assets and Liabilities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GAAP for water utilities include the recognition of regulatory assets and liabilities as permitted by ASC Topic 980. In accordance with ASC Topic 980, Water Utility Services, to the extent applicable, records regulatory assets for incurred costs that are deemed probable of recovery from customers. Also, Water Utility Services recognizes regulatory liabilities for amounts expected to be refunded to customers in the ratemaking process and for amounts collected in advance of the related expenditures. Regulatory assets or liabilities are also recognized for special revenue programs such as WCMA and WRA in accordance with guidance on alternative revenue programs under ASC Topic 980, including the requirement that such revenues will be collected within 24 months of the year-end in which the revenue is recorded. A reserve is recorded for amounts H2O America estimates will not be collected within the 24-month period. This reserve is based on an estimate of actual usage over the recovery period. The WCMA allows SJWC to track revenue, net of related water costs, associated with reduced sales due to water conservation and associated calls for water use reduction.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WRA, a decoupling mechanism authorized by PURA for CWC, mitigates risks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 Application of ASC Topic 980, including determining whether recovery is probable, requires significant judgement by management and includes assessing evidence that may exist prior to regulatory authorization, including regulatory rules and decisions, historical ratemaking practices, and other facts and circumstances that would indicate the recovery or refund is probable. The regulatory assets and liabilities recorded by Water Utility Services primarily relate to asset removal costs, the recognition of deferred income taxes for ratemaking versus tax accounting purposes, balancing and memorandum accounts, pensions and other postretirement benefits, and employee benefit costs. The disallowance of any asset in future ratemaking, including regulatory assets, would require Water Utility Services to immediately recognize the impact of the costs for financial reporting purposes. There were no material disallowances recognized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Recognition of Balancing and Memorandum Accounts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Balancing and memorandum accounts are primarily utilized by our California operations. The purpose of a balancing account is to track the under-collection or over-collection associated with expense changes and the revenue authorized by the CPUC to offset those expense changes. Pursuant to Section 792.5 of the California Public Utilities Code, a balancing account must be maintained for expense items for which revenue offsets have been authorized. Balancing and memorandum accounts are recognized by SJWC when it is probable that future recovery of previously incurred costs or future refunds that are to be credited to customers will occur through the ratemaking process.</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Balancing accounts are currently being maintained for the following items in California: purchased water, purchased power, groundwater extraction charges, pensions, group health insurance, and general rate case and cost of capital true-ups. The amount in the water production balancing accounts varies with the seasonality of the water utility business such that, during the summer months when the demand for water is at its peak, the account tends to reflect an under-collection, while during the winter months when demand for water is relatively lower, the account tends to reflect an over-collection. The pension and group health insurance balancing accounts are intended to capture the difference between actual expense and the amount approved in rates by the CPUC. The general rate case true-up accounts are a result of revenue shortfalls authorized for collection or refund by the CPUC due to delayed rate case and cost of capital decisions. The MWRAM tracks the difference between the revenue received for actual metered sales through the tiered volumetric rate and the revenue that would have been received with the same actual metered sales if a uniform rate would have been in effect.</w:t>
      </w:r>
    </w:p>
    <w:p>
      <w:pPr>
        <w:spacing w:after="0" w:line="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assessing the probability criteria for balancing and memorandum accounts between general rate cases, SJWC considers evidence that may exist prior to CPUC authorization that would satisfy ASC Topic 980 subtopic 340-25 recognition criteria. Such evidence may include regulatory rules and decisions, past practices, and other facts and circumstances that would indicate that recovery or refund is probable. When such evidence provides sufficient support, the balances are recorded in H2O America’s financial statements.</w:t>
      </w:r>
    </w:p>
    <w:p>
      <w:pPr>
        <w:spacing w:after="0" w:line="7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It is typical for the CPUC to incorporate any over-collected and/or under-collected balances in balancing or memorandum accounts into customer rates at the time rate decisions are made as part of SJWC’s general rate case proceedings by assessing temporary surcredits and/or surcharges. In the case where SJWC’s balancing or memorandum-type accounts that have been authorized by the CPUC reach certain thresholds or have termination dates, SJWC can request the CPUC to recognize the amounts in customer rates prior to the next regular general rate case proceeding by filing an advice letter.</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estimated fair value of the assets acquired and liabilities assumed in the acquisition of a business. Goodwill is not amortized but is tested for impairment annually on October 1st or more frequently if an event occurs or circumstances change that would more likely than not reduce the fair value of a reporting unit below its carrying amount. H2O America first performs a qualitative assessment to determine whether it is necessary to perform the quantitative impairment test. In assessing the qualitative factors, H2O America considers the impact of these key factors: change in industry and competitive environment, financial performance, macroeconomic conditions, and other relevant Company-specific events. If H2O America determines that as a result of the qualitative assessment it is more likely than not (&gt; 50% likelihood) that the fair value is less than carrying amount, then a quantitative test is performed. H2O America performed an impairment analysis as of October 1, 2025. The qualitative assessment found no indicators of impairment and therefore H2O America did not perform the quantitative impairment test. No impairments occurred during the years ended December 31, 2025, 2024 or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financial condition and results of operations are influenced by a variety of factors including the following:</w:t>
      </w:r>
    </w:p>
    <w:p>
      <w:pPr>
        <w:spacing w:after="0" w:line="117" w:lineRule="exact"/>
        <w:rPr>
          <w:sz w:val="20"/>
          <w:szCs w:val="20"/>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utility regulation;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investment;</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standards;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expenses;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growth;</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usage per customer;</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seasonality and sources of water supply;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 acquisition activities, if 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Utility Regulation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Water Utility Services is generally subject to economic regulation by the Regulators overseeing public utilities. Regulatory policies vary from state to state and may change over time. In addition, there may be regulatory lag between the time a capital investment is made, a consumption decrease occurs, or an operating expense increases and when those items are adjusted in utility rates.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SJWC employs a forward-looking test year and has been authorized to use several mechanisms to mitigate risks faced due to regulatory lag and new and changing legislation, policies and regulation. These include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Rate recovery for the balances in these memorandum accounts is generally allowed in a subsequent general rate case. SJWC also maintains balancing accounts to track changes in purchased water, purchased power, groundwater extraction charges, pension costs, and group health insurance expenses for later rate recovery. Regulatory risk in California is mitigated by use of a forward-looking test year which allows the return on and return of utility plant on a forecasted basis as it is placed in service, and in some cases interim rate relief is allowed in the event of regulatory lag. The CPUC permits its regulated utilities to acquire other utilities if the proposed sale and asset purchase transaction is determined to be in the public interest. Under Public Utilities Code § 2720, the purchase price, subject to a reasonable test involving appraisals from the acquirer as well as the Public Advocates Office, represents the Fair Market Value. Upon CPUC approval, acquiring utilities can include the Fair Market Value in rate base.</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Connecticut regulations, CWC employs a historical test year. To address regulatory risk due to regulatory lag and changing legislation policies and regulations, rate cases may be filed as necessary in Connecticut. Additionally, to mitigate regulatory lag for pipeline replacement and conservation related projects, the Connecticut State Legislature has approved WICA that allows for a surcharge to be added to customer bills semi-annually for certain eligible pre-approved projects. The intended purpose of WICA is to enable the acceleration of the rate of replacement and/or rehabilitation of existing water system infrastructure to mitigate the effect of decay of aging water systems and promote conservation measures. In order to incentivize water utilities to conserve water, the Connecticut State Legislature created WRA in Connecticut in 2013. With the passage, CWC is no longer incentivized to sell more water and can encourage conservation of precious resources, removing financial disincentives to pursue water conservation.</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Texas regulation, TWC employs a historical test year. To address regulatory risk due to regulatory lag and changing legislation policies and regulations, rate cases may be filed as necessary in Texas, provided it has been more than 12 months since TWC’s most recent application to change rates was filed. Additionally, to mitigate regulatory lag for capital improvements, Texas implemented its first SIC in 2021. The SIC allows TWC to earn a return on some of its capital improvements made after 2020 through a monthly surcharge to its customers. An application for a SIC or SIC amendment may be filed once per year, and the initial approval of a SIC triggers a requirement to file a general rate case within four years of the date of approval. The PUCT permits the acquisition of utilities using FMV. This process brings in three appraisers to determine the market value of a system. The average of the three appraisals is then compared to the purchase price for the acquisition to determine the value of utility plant included in rate base. In addition, after recent legislation the PUCT adopted rules to allow a water utility to request to apply its current approved rates to the customers of newly acquired systems, which encourages consolidation and minimizes rate case expenses. During 2025, the Texas legislature passed House Bill 2712 which took effect on September 1, 2025 and allows water utilities to use future test year information for ratemaking purposes beginning with applications filed on or after September 1, 2026. The legislation was enacted to enable water utilities to seek rate recovery based on projected costs, encourage timely replacement of infrastructure and improve regulatory alignment with capital planning. Upon implementation of the law, water utilities will be able to utilize the future test year, historical test year or a combination of both when filing a general rate case.</w:t>
      </w:r>
    </w:p>
    <w:p>
      <w:pPr>
        <w:spacing w:after="0" w:line="79"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Pursuant to Maine regulations, MWC employs a historical test year. To address regulatory risk due to regulatory lag and changing legislation policies and regulations, rate cases may be filed as necessary in Maine. Additionally, to mitigate regulatory lag for all infrastructure replacements (except meters), the Maine State Legislature has approved of WISC that allows for a surcharge to be added to customer bills semi-annually for certain pre-approved projects.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water utility business is capital-intensive. In 2025 and 2024, company-funded capital improvements were $489,607 and $353,029, respectively, for additions to, or replacements of, property, plant and equipment for our Water Utility Services. We plan to spend approximately $458,000 in 2026 which excludes amounts related to the Company’s previously announced acquisition of Quadvest L.P and $2,568,000 over the next five years for capital improvements inclusive of amounts related to the acquisition. In addition to these capital expenditures, Water Utility Services expects to incur approximately $100,000 over the next five years, including $25,000 in 2026, in capitalizable costs associated with cloud-based computing arrangements. H2O America funds these expenditures through a variety of sources, including earnings received from operations, debt and equity financing, and other borrowings. H2O America relies upon lines of credit to fund capital expenditures in the short term and has historically issued long-term debt to refinance our short-term debt. While our ability to obtain financing will continue to be a key risk, we believe that based on our successful 2025 activities, we will have access to the external funding sources necessary to implement our ongoing capital investment programs in the future. See discussion below under “Liquidity and Capital Resources” for additional information on capital expenditures.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Standards</w:t>
      </w:r>
    </w:p>
    <w:p>
      <w:pPr>
        <w:spacing w:after="0" w:line="11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Water Utility Services’ operations are subject to water quality and pollution control regulations issued by the EPA and environmental laws and regulations administered by the respective states and local regulatory agencies. Under the federal SDWA, Water Utility Services is subject to regulation by the EPA of the quality of water it sells and treatment techniques it uses to make the water potable. The EPA promulgates nationally applicable standards, including maximum contaminant levels for drinking water. Water Utility Services has implemented monitoring activities and installed specific water treatment improvements enabling it to comply with existing maximum contaminant levels and plan for compliance with future drinking water regulations. However, the EPA and the respective state agencies have continuing authority to issue additional regulations under the SDWA. Water Utility Services incur substantial costs associated with compliance with environmental, health and safety and water quality regulation to which our water services are subject.</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2024, the EPA issued new national primary drinking water regulations for six PFAS substances. The regulations impose maximum contaminant levels and monitoring requirements for the nation’s water system for six PFAS chemicals under the SDWA. The final regulation requires water systems to comply with PFAS monitoring and reporting requirements by 2027, and to comply with the maximum contaminant levels by 2029. H2O America estimates capital expenditures of approximately $400,000 for PFAS treatment based on finalized maximum contaminant levels. See discussion below under “Liquidity and Capital Resources” for additional information on capital expenditures.</w:t>
      </w:r>
    </w:p>
    <w:p>
      <w:pPr>
        <w:spacing w:after="0" w:line="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Environmental, health and safety, and water quality regulations are complex and change frequently, and the overall trend has been that they have become more stringent over time. It is possible that new or more stringent environmental standards and water quality regulations could be imposed that will increase Water Utility Services’ water quality compliance costs, hamper Water Utility Services’ available water supplies, and increase future capital expenditures. Future drinking water regulations may require increased monitoring, additional treatment of underground water supplies, fluoridation of all supplies, more stringent performance standards for treatment plants and procedures to further reduce levels of disinfection by-products. In the past, Water Utility Services have generally been able to recover expenses associated with compliance related to environmental, health and safety standards, but future recoveries could be affected by regulatory lag and the corresponding uncertainties surrounding rate recovery.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Water Utility Services’ operations require significant production inputs which result in substantial production expenses. These expenses include power, which is used to operate pumps and other equipment, purchased water and groundwater extraction charges. For 2025, production expenses accounted for 50% of our total operating expenses. Price increases associated with these production inputs would adversely impact our results of operations until rate relief is granted. However, for SJWC, the FCBA mitigates the cost of the water supply from changes and variations in quantities from each of these sources which affect the overall mix of the water supply.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Growth</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Customer growth in Water Utility Services is driven by: (i) organic population growth within our authorized service areas and (ii) the addition of new customers to our regulated customer base by acquiring regulated water systems adjacent to or near our existing service territories. We did not have any cash outflows for business acquisitions in 2025 or 2024. During the third quarter of 2025 we announced our anticipated acquisitions of Quadvest L.P and South Central Water Company both of which are expected to close in the second half of 2026. During 2023, we had cash outflows of $7,537, for business acquisitions which we believe will allow H2O America to expand our regulated customer base. Before entering new regulated markets, we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evaluate the regulatory environment to ensure that we will have the opportunity to achieve an appropriate rate of return on our investment while maintaining our high standards for quality, reliability and compliance with environmental, health and safety, and water quality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 Usage Per Customer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Fluctuations in customer demand for water could be due to seasonality, restrictions of use, weather or lifestyle choices, all of which could affect our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change in combined residential and business customer usage in 2025 compared to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6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Change in customer usage</w:t>
            </w:r>
          </w:p>
        </w:tc>
      </w:tr>
      <w:tr>
        <w:trPr>
          <w:trHeight w:val="196"/>
        </w:trPr>
        <w:tc>
          <w:tcPr>
            <w:tcW w:w="8600" w:type="dxa"/>
            <w:vAlign w:val="bottom"/>
            <w:tcBorders>
              <w:bottom w:val="single" w:sz="8" w:color="CCEEFF"/>
            </w:tcBorders>
          </w:tcPr>
          <w:p>
            <w:pPr>
              <w:spacing w:after="0"/>
              <w:rPr>
                <w:sz w:val="17"/>
                <w:szCs w:val="17"/>
                <w:color w:val="auto"/>
              </w:rPr>
            </w:pPr>
          </w:p>
        </w:tc>
        <w:tc>
          <w:tcPr>
            <w:tcW w:w="26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CWC</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MWC</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SJWC’s residential usage was lower by 14.6% and business usage was higher by 2.5%, respectively, than the amount authorized in our 2022-2024 general rate case. SJWC’s service area is currently under a voluntary 15% reduction of water consumption from its water wholesaler. To address the difference between conservation usage and authorized usage in the rate case, the CPUC has approved the activation of the WCMA. The WCMA is a temporary revenue protection mechanism, due to the voluntary 15% water reduction request, which tracks the divergence between authorized versus actual consumption in a balancing account for future recovery.</w:t>
      </w:r>
    </w:p>
    <w:p>
      <w:pPr>
        <w:spacing w:after="0" w:line="3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With the availability of the WCMA in California and the WRA in Connecticut, which allows for recovery of authorized revenues, decreases in consumption year to year do not present the same financial risk as in our other water utility services utilities.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Conditions, Seasonality and Sources of Water Supply</w:t>
      </w:r>
    </w:p>
    <w:p>
      <w:pPr>
        <w:spacing w:after="0" w:line="7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ability to meet the existing and future water demands of our customers depends on an adequate supply of water. Drought, governmental restrictions, overuse of sources of water, the protection of threatened species or habitats or other factors may limit the availability of ground and surface water. Also, customer usage of water is affected by weather conditions, in particular during the warmer months. Our water systems experience higher demand in the summer due to the warmer temperatures and increased usage by customers for outside irrigation of lawns and landscaping. In periods of drought, if customers are encouraged or required to conserve water due to a shortage of supply or restriction of use, revenue tends to be lower. Water use restrictions may be imposed at a regional or state level and may affect our service areas regardless of our readiness to meet unrestricted customer demands. Similarly, in unusually wet periods, water supply tends to be higher and customer demand tends to be lower, again resulting in lower revenues.</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SJWC believes that its various sources of water supply, which consists of groundwater from wells, surface water from watershed run-off and diversion, reclaimed water, and purchased imported water, will be sufficient to meet customer demand for 2026. In addition, SJWC actively works with Valley Water to address California’s long-term water supply challenges by continuing to educate customers on responsible water use practices and to conduct long-range water supply planning. CWC and MWC believe that they will be able to meet customer demand for 2026 with their existing water supply which consists of groundwater from wells, surface water in reservoirs and purchased water treated by neighboring water utilities. TWC expects to meet customer demand for 2026 with TWC’s water supply which consists of groundwater from wells, surface water and purchased treated and raw water from the GBRA.</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“Business” and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for a discussion of H2O America’s general business, regulatory activities, and information about water supply.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H2O America’s consolidated net income for the year ended December 31, 2025 was $102,578, compared to $93,967 for the same period in 2024. This represents an increase of $8,611 or 9%, from 2024. The increase in net income was primarily driven by higher revenue associated with rate increases in California and Connecticut partially offset by higher administrative and general expenses, higher water production expenses, lower customer usage, and higher depreciation and amortization expense primarily related to new utility plant additions.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787,099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652,045</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w:t>
            </w:r>
          </w:p>
        </w:tc>
      </w:tr>
      <w:tr>
        <w:trPr>
          <w:trHeight w:val="248"/>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800,590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change in consolidated operating revenue was due to the following factors: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5"/>
        </w:trPr>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840" w:type="dxa"/>
            <w:vAlign w:val="bottom"/>
          </w:tcPr>
          <w:p>
            <w:pPr>
              <w:spacing w:after="0"/>
              <w:rPr>
                <w:sz w:val="21"/>
                <w:szCs w:val="21"/>
                <w:color w:val="auto"/>
              </w:rPr>
            </w:pPr>
          </w:p>
        </w:tc>
      </w:tr>
      <w:tr>
        <w:trPr>
          <w:trHeight w:val="195"/>
        </w:trPr>
        <w:tc>
          <w:tcPr>
            <w:tcW w:w="40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840" w:type="dxa"/>
            <w:vAlign w:val="bottom"/>
            <w:tcBorders>
              <w:bottom w:val="single" w:sz="8" w:color="auto"/>
            </w:tcBorders>
          </w:tcPr>
          <w:p>
            <w:pPr>
              <w:spacing w:after="0"/>
              <w:rPr>
                <w:sz w:val="16"/>
                <w:szCs w:val="16"/>
                <w:color w:val="auto"/>
              </w:rPr>
            </w:pPr>
          </w:p>
        </w:tc>
      </w:tr>
      <w:tr>
        <w:trPr>
          <w:trHeight w:val="21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Consumption changes</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customers</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increases for:</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4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Pass-through water costs</w:t>
            </w:r>
            <w:r>
              <w:rPr>
                <w:rFonts w:ascii="Times New Roman" w:cs="Times New Roman" w:eastAsia="Times New Roman" w:hAnsi="Times New Roman"/>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04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All other increases</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Regulatory mechanisms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operating revenue</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rate increases specifically associated with changes in the water supply costs that are passed through to customers.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associated with general rate cases and related annual escalation adjustments, infrastructure surcharges, and cost of capital adjustments.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portion attributable to rate increases, which are shown in the rate increase lines above.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2025 vs. 2024</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revenue increase consists of $54,519 for Water Utility Services which is primarily due to a $44,134 increase in authorized rates in California, Connecticut and Texas, an increase in rates of $23,281 attributable to water supply costs that are passed through to customers, an increase of $1,452 from new customers, and increases in services and other revenue of $859, partially offset by decreases of $7,987 in other regulatory mechanisms, and a decrease of $7,220 due to lower usage.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decrease of $2,368 from Other Services is primarily attributable to lower real estate activity.</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2024 vs. 2023</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revenue increase consists of $80,535 for Water Utility Services which is primarily due to an increase in authorized rates in California and Connecticut, which resulted in an additional $36,076 in revenue, an increase in rates of $26,057 attributable to water supply costs that are passed through to customers, an increase of $14,861 due to higher usage, an increase of $2,532 from new customers, and increases in services and other revenue of $7,642, partially offset by decreases of $6,633 in other regulatory mechanisms.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decrease of $2,459 from Other Services is primarily attributable to lower real estate activity.</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Utility Services’ Operating Revenue and Customer 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operating revenues and the number of customers by customer group of Water Utility Services: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Revenue by Customer Group</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business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676,065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557,659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authorities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Balancing and memorandum accounts and other</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mechanisms</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787,099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732,580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Customers</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business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383,126</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authorities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400,128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is summarized below:</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607,056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506,923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623,063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520,928</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consolidated operating expenses was due to the following factors: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60" w:type="dxa"/>
            <w:vAlign w:val="bottom"/>
            <w:gridSpan w:val="3"/>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80" w:type="dxa"/>
            <w:vAlign w:val="bottom"/>
          </w:tcPr>
          <w:p>
            <w:pPr>
              <w:spacing w:after="0"/>
              <w:rPr>
                <w:sz w:val="13"/>
                <w:szCs w:val="13"/>
                <w:color w:val="auto"/>
              </w:rPr>
            </w:pPr>
          </w:p>
        </w:tc>
      </w:tr>
      <w:tr>
        <w:trPr>
          <w:trHeight w:val="195"/>
        </w:trPr>
        <w:tc>
          <w:tcPr>
            <w:tcW w:w="45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680" w:type="dxa"/>
            <w:vAlign w:val="bottom"/>
            <w:tcBorders>
              <w:bottom w:val="single" w:sz="8" w:color="auto"/>
            </w:tcBorders>
          </w:tcPr>
          <w:p>
            <w:pPr>
              <w:spacing w:after="0"/>
              <w:rPr>
                <w:sz w:val="16"/>
                <w:szCs w:val="16"/>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usage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new customers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84"/>
        </w:trPr>
        <w:tc>
          <w:tcPr>
            <w:tcW w:w="45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Purchased water and groundwater extraction charge, energy</w:t>
            </w: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price change and other production expenses, net</w:t>
            </w: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Balancing and memorandum account cost recovery</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45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45,127</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57,008</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
        </w:trPr>
        <w:tc>
          <w:tcPr>
            <w:tcW w:w="4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sources of water supply: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4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Source of Water Supply</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180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0" w:type="dxa"/>
            <w:vAlign w:val="bottom"/>
            <w:tcBorders>
              <w:bottom w:val="single" w:sz="8" w:color="auto"/>
            </w:tcBorders>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0" w:type="dxa"/>
            <w:vAlign w:val="bottom"/>
            <w:gridSpan w:val="3"/>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8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17.0</w:t>
            </w:r>
          </w:p>
        </w:tc>
        <w:tc>
          <w:tcPr>
            <w:tcW w:w="3000" w:type="dxa"/>
            <w:vAlign w:val="bottom"/>
            <w:gridSpan w:val="3"/>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8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5"/>
              </w:rPr>
              <w:t>20.5</w:t>
            </w:r>
          </w:p>
        </w:tc>
        <w:tc>
          <w:tcPr>
            <w:tcW w:w="3000" w:type="dxa"/>
            <w:vAlign w:val="bottom"/>
            <w:gridSpan w:val="3"/>
          </w:tcPr>
          <w:p>
            <w:pPr>
              <w:jc w:val="center"/>
              <w:ind w:left="556"/>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8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10.9</w:t>
            </w:r>
          </w:p>
        </w:tc>
        <w:tc>
          <w:tcPr>
            <w:tcW w:w="3000" w:type="dxa"/>
            <w:vAlign w:val="bottom"/>
            <w:gridSpan w:val="3"/>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5"/>
              </w:rPr>
              <w:t>11.8</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8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7"/>
              </w:rPr>
              <w:t>0.8</w:t>
            </w:r>
          </w:p>
        </w:tc>
        <w:tc>
          <w:tcPr>
            <w:tcW w:w="3000" w:type="dxa"/>
            <w:vAlign w:val="bottom"/>
            <w:gridSpan w:val="3"/>
          </w:tcPr>
          <w:p>
            <w:pPr>
              <w:jc w:val="center"/>
              <w:ind w:left="576"/>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49.2</w:t>
            </w: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Average water production expense per billion gallons</w:t>
            </w: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vMerge w:val="continue"/>
          </w:tcPr>
          <w:p>
            <w:pPr>
              <w:spacing w:after="0"/>
              <w:rPr>
                <w:sz w:val="17"/>
                <w:szCs w:val="17"/>
                <w:color w:val="auto"/>
              </w:rPr>
            </w:pPr>
          </w:p>
        </w:tc>
        <w:tc>
          <w:tcPr>
            <w:tcW w:w="1800" w:type="dxa"/>
            <w:vAlign w:val="bottom"/>
            <w:tcBorders>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$6.247 million</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$5.956 million</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percentages of water supply by source excluding reclaimed water by state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Purchased Water</w:t>
            </w:r>
          </w:p>
        </w:tc>
        <w:tc>
          <w:tcPr>
            <w:tcW w:w="21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Groundwater</w:t>
            </w:r>
          </w:p>
        </w:tc>
        <w:tc>
          <w:tcPr>
            <w:tcW w:w="202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Surface Water</w:t>
            </w:r>
          </w:p>
        </w:tc>
      </w:tr>
      <w:tr>
        <w:trPr>
          <w:trHeight w:val="23"/>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49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Water production in 2025 increased by 0.2 billion gallons from 2024. The changes are primarily attributable to increase in consumption by customers in Connecticut partially offset by decrease in consumption by customers in California.</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contract water rates for SJWC are determined by Valley Water. These rates are adjusted periodically and coincide with Valley Water’s fiscal year, which ends on June 30. The contract water rate for Valley Water’s fiscal years 2026, 2025 and 2024 was $7.872 million, $7.194 million, and $6.411 million per billion gallons, respectively. The contractual cost of the groundwater extraction charge for water pumped from the ground basin was $7.519 million, $6.840 million, and $6.058 million per billion gallons for Valley Water’s fiscal years 2025, 2024 and 2023, respectively.</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CWC has an agreement with RWA to purchase water from RWA. The agreement was signed in April 2006 and became effective upon the receipt of all regulatory approvals in 2008 and will remain in effect for a minimum of 50 years upon becoming effective. In addition, CWC is able, but under no obligation, to purchase up to one million gallons of water per day at the then-current wholesale rates per the agreement, $3.1 million per billion gallons as of December 31, 2025. CWC has an agreement with MDC to purchase water from MDC to serve the Unionville system. The agreement became effective 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October 6, 2000 and has a term of 50 years beginning May 19, 2003, the date the water supply facilities related to the agreement were placed in service. CWC has agreed to purchase 0.28 billion gallons of water annually from MDC at the published retail rate, $3.91 per hundred cubic feet as of December 31, 2025.</w:t>
      </w:r>
    </w:p>
    <w:p>
      <w:pPr>
        <w:spacing w:after="0" w:line="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MWC had an agreement with the Kennebec Water District for potable water service. The agreement had previously been in place for 20 years prior to being renewed on November 7, 2020. The renewal contained an initial term of five years and the ability to renew for up to 20 years at Kennebec Water District’s option. In November 2025, the agreement was terminated and MWC transitioned from the previously negotiated rate to a standard tariff rate. MWC guarantees a minimum consumption of 0.05 billion gallons of water annually. Through November 2025, water sales to MWC were billed at a wholesale discount of $0.20 per hundred cubic feet of water below Kennebec Water District's tariffed rates. The current tariff rate was $1.51 per hundred cubic feet as of December 31,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components of operating expenses are discussed below.</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production expenses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Water production expenses increased $19,139 in 2025 primarily related to increased water pass-through costs including purchased water, groundwater extraction charges and decreased availability of surface water, partially offset by decreased balancing and memorandum account cost recovery and lower customer usage.</w:t>
      </w:r>
    </w:p>
    <w:p>
      <w:pPr>
        <w:spacing w:after="0" w:line="68"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SJWC was notified by Valley Water that the unit prices of purchased water and the groundwater extraction charge were increased by 9% and 10%, respectively, effective July 1, 2025. Effective July 1, 2024, Valley Water increased the unit price of purchased water by approximately 12% and the groundwater extraction charge by approximately 13% for SJWC.</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Administrative and General Expense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Administrative and general expense increased $20,168 in 2025, or 3% of total operating expenses from 2024, The increase was primarily attributable to funds received from the California Extended Water and Wastewater Arrearage Payment Program in the prior year, higher employee expenses, insurance and consulting work.</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Maintenance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expenses increased $1,594 in 2025, primarily due to higher contracted work.</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Property Taxes and Other Non-income Taxes</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Property taxes and other non-income taxes increased $1,758 in 2025. The increase was primarily the result of an increase in property taxes due to utility plant additions and higher payroll taxes due to increases in wages and headcount.</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increased $2,468 in 2025. The increase was primarily due to new utility plant additions.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change in other (expense) income in 2025 compared to 2024 was primarily due to higher income from the equity portion of the Allowance for Funds Used During Construction (“AFUDC”), and an increase in pension non-service credit, partially offset by an increase in interest expense related to higher debt balances partially offset by lower interest rates. AFUDC income increased due to higher construction work in progress balances from ongoing capital projects, resulting in greater capitalization of financing costs.</w:t>
      </w:r>
    </w:p>
    <w:p>
      <w:pPr>
        <w:spacing w:after="0" w:line="1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H2O America’s consolidated weighted-average cost of long-term debt, including the amortization of debt issuance costs, was 4.38% and 4.12% for the years ended December 31, 2025 and 2024. Cost of borrowing on the lines of credit averaged 5.34% and 6.44% for the years ended December 31, 2025 and 2024, respectively.</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Income tax expense for 2025 was $12,355, compared to $8,970 in 2024. The effective consolidated income tax rate was 11% for 2025 and 9% for 2024. The increase in the effective income tax rate was primarily due to a lower uncertain tax position reserve release and lower reversals of excess deferred income taxes, and the cumulative catch-up adjustment relating to the accounting method change filed in 2024 that resulted in reduced income tax expense for 2024, partially offset by higher flow through tax benefits.</w:t>
      </w:r>
    </w:p>
    <w:p>
      <w:pPr>
        <w:spacing w:after="0" w:line="9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“Income Taxes,” of Notes to Consolidated Financial Statements for a reconciliation of income tax computed at the federal statutory rate to actual income tax expense.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July 4, 2025, Public Law No. 119-21, referred to as the One Big Beautiful Bill Act (“OBBBA”), was signed into law. The OBBBA contains several changes to corporate taxation including the extension of key provisions of the 2017 Tax Cuts and Jobs Act. The legislation has multiple effective dates, with certain provisions effective in 2025 and others phased in through tax year 2027. The legislation may be subject to further clarification and the issuance of interpretive guidance. The Company evaluated the impact of the OBBBA tax legislation for the year ended December 31, 2025, and the impact was not material to the provision for income taxes and deferred tax balances.</w:t>
      </w:r>
    </w:p>
    <w:p>
      <w:pPr>
        <w:spacing w:after="0" w:line="1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change in other comprehensive income in 2025 compared to 2024 was primarily due to the change in the benefit obligation for CWC’s supplemental executive retirement plan primarily as a result of changes in the discount rate.</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H2O America's net income and diluted EPS are prepared in accordance with GAAP. Adjusted net income and Adjusted diluted EPS are non-GAAP financial measures representing GAAP earnings adjusted to exclude the effects of non-utility real estate transactions and costs associated with mergers and acquisition activities, if any. These non-GAAP financial measures are provided as additional information for investors to evaluate the performance of H2O America's business activities excluding these items. Management also believes these non-GAAP financial measures help investors and analysts better understand our actual results compared to our guidance on a non-GAAP basis. H2O America uses adjusted net income and/or adjusted diluted EPS as the primary performance measurements when communicating with analysts and investors regarding our outlook and results. Adjusted net income and Adjusted diluted EPS are also used internally to measure performance. However, these non-GAAP financial measures may be different from non-GAAP financial measures used by other companies, even when the same or similarly titled terms are used to identify such measures, limiting their usefulness for comparative purposes. Further, these non-GAAP financial measures should be considered as a supplement to the financial information prepared on a GAAP basis rather than an alternative to the respective GAAP financial measures.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Net Income, and EPS, all as defined under GAAP, to our non-GAAP financial measures of Adjusted Net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for the years ended December 31, 2025,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6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86"/>
        </w:trPr>
        <w:tc>
          <w:tcPr>
            <w:tcW w:w="5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GAAP Net Income</w:t>
            </w: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84,987</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(Gain)/loss on sale of real estate investments</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9"/>
        </w:trPr>
        <w:tc>
          <w:tcPr>
            <w:tcW w:w="5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Expense for merger and acquisition activities</w:t>
            </w:r>
            <w:r>
              <w:rPr>
                <w:rFonts w:ascii="Times New Roman" w:cs="Times New Roman" w:eastAsia="Times New Roman" w:hAnsi="Times New Roman"/>
                <w:sz w:val="23"/>
                <w:szCs w:val="23"/>
                <w:color w:val="auto"/>
                <w:vertAlign w:val="superscript"/>
              </w:rPr>
              <w:t>2</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Tax effect of above adjustments</w:t>
            </w:r>
            <w:r>
              <w:rPr>
                <w:rFonts w:ascii="Times New Roman" w:cs="Times New Roman" w:eastAsia="Times New Roman" w:hAnsi="Times New Roman"/>
                <w:sz w:val="23"/>
                <w:szCs w:val="23"/>
                <w:color w:val="auto"/>
                <w:vertAlign w:val="superscript"/>
              </w:rPr>
              <w:t>3</w:t>
            </w: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114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104,887</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96,784</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83,926</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 Diluted Earnings Per Share</w:t>
            </w: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(Gain)/loss on sale of real estate investments, net of tax</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 for merger and acquisition activities, net of tax</w:t>
            </w: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 (non-GAAP)</w:t>
            </w:r>
          </w:p>
        </w:tc>
        <w:tc>
          <w:tcPr>
            <w:tcW w:w="114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5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100" w:hanging="92"/>
        <w:spacing w:after="0"/>
        <w:tabs>
          <w:tab w:leader="none" w:pos="1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"Other, net" line on the consolidated statements of comprehensive income.</w:t>
      </w:r>
    </w:p>
    <w:p>
      <w:pPr>
        <w:spacing w:after="0" w:line="55" w:lineRule="exact"/>
        <w:rPr>
          <w:rFonts w:ascii="Times New Roman" w:cs="Times New Roman" w:eastAsia="Times New Roman" w:hAnsi="Times New Roman"/>
          <w:sz w:val="19"/>
          <w:szCs w:val="19"/>
          <w:color w:val="auto"/>
          <w:vertAlign w:val="superscript"/>
        </w:rPr>
      </w:pPr>
    </w:p>
    <w:p>
      <w:pPr>
        <w:ind w:right="5880"/>
        <w:spacing w:after="0" w:line="375"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the "Administrative and general" line on the consolidated statements of income.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The tax effect on all adjustments is calculated at the applicable statutory rate.</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Water Utility Services’ business derives the majority of its revenue directly from residential and business customers. Management asserts that the collection rate for its accounts receivables has improved as the ability to use service disconnections have returned to normal. On December 28, 2023, SJWC submitted the application through the State of California Water and Wastewater Arrearages Payment Program to relieve outstanding payment delinquencies for customer accounts greater than 60-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days past due as of December 31, 2022. We received $9,130 in the second quarter of 2024 under the State of California Water and Wastewater Arrearages Payment Program.</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Funds collected from Water Utility Services’ customers are used to pay for water production expenses, in addition to costs associated with general operations. Funds were also generated from borrowings. In 2025, H2O America and its subsidiaries obtained $185,167 in funds from new long-term debt and $122,808 in funds from equity issuances. From these amounts, H2O America funded its 2025 capital expenditure programs, refinanced certain short and long-term borrowings, and funded working capital.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“Notes to Consolidated Financial Statements” for discussion on the equity and debt financing activities of H2O America. In addition, H2O America paid cash dividends of $58,645 during the year ended December 31, 2025.</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2025, the common dividends declared and paid on H2O America’s common stock represented 57% of net income. Dividends have been paid on H2O America’s and its predecessor’s common stock for 329 consecutive quarters and the annual dividend amount has increased in each of the last 58 years. While historically H2O America has generally paid dividends equal to approximately 50% to 60% of its net income, H2O America cannot guarantee that this trend will continue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operating, investing and financing cash flows for the years ended December 31, 2025,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32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420" w:type="dxa"/>
            <w:vAlign w:val="bottom"/>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195,526</w:t>
            </w:r>
          </w:p>
        </w:tc>
        <w:tc>
          <w:tcPr>
            <w:tcW w:w="1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190,831</w:t>
            </w: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(340,095)</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(322,272)</w:t>
            </w: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284,870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145,960</w:t>
            </w: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128,820</w:t>
            </w:r>
          </w:p>
        </w:tc>
      </w:tr>
      <w:tr>
        <w:trPr>
          <w:trHeight w:val="22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the year</w:t>
            </w:r>
          </w:p>
        </w:tc>
        <w:tc>
          <w:tcPr>
            <w:tcW w:w="1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12,344</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the year</w:t>
            </w:r>
          </w:p>
        </w:tc>
        <w:tc>
          <w:tcPr>
            <w:tcW w:w="142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Operations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2025, H2O America generated cash flow from operations of $244,803 compared to $195,526 during 2024. Cash flow from operations are primarily generated by net income from revenue producing activities, adjusted for non-cash expenses for depreciation and amortization, deferred income taxes, share-based compensation, allowance for equity funds used during construction, gains on the sale of assets, and other changes in working capital items.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2025, the increase in cash flows from operations was primarily attributable to higher net income, changes in working capital balances, changes in regulatory assets and liabilities, proceeds from the PFAS litigation settlement, and the absence of the prior year’s up-front service concession fee payments related to Cupertino.</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Investing Activities</w:t>
      </w:r>
    </w:p>
    <w:p>
      <w:pPr>
        <w:spacing w:after="0" w:line="11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$520,101 compared to $340,095 in 2024. This increase of $180,006 is primarily a result of (1) an increase in company-funded capital expenditures of $136,578, primarily driven by $73,766 of expenditures at TWC and $62,738 at SJWC, (2) proceeds from the sale of real estate investments decreased by $37,771 driven primarily by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sale of H2O America Land Company’s Tennessee real estate assets. and (3) an increase for developer-funded capital expenditures of $5,967.</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$284,870 compared to $145,960 in 2024. This increase of $138,910 is primarily a result of (1) decrease in long-term debt repayments of $45,114, (2) an increase in net proceeds from common stock equity offerings of $37,800,</w:t>
      </w:r>
    </w:p>
    <w:p>
      <w:pPr>
        <w:jc w:val="both"/>
        <w:ind w:right="240" w:firstLine="8"/>
        <w:spacing w:after="0" w:line="290" w:lineRule="auto"/>
        <w:tabs>
          <w:tab w:leader="none" w:pos="2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cash receipts of advances and contributions in aid of construction of $26,832, (4) an increase in net borrowings on the lines of credit of $20,969, and (5) an increase in proceeds from PFAS litigation settlement $16,949, partially offset by (6) an increase in payments of dividends of $6,513.</w:t>
      </w:r>
    </w:p>
    <w:p>
      <w:pPr>
        <w:spacing w:after="0" w:line="4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H2O America’s cash management policy includes the issuance of long-term debt to pay down borrowings on our lines of credit. As such, during years when long-term borrowings are high, borrowings on our line of credit tend to be low and when long-term borrowings are low, borrowings on our line of credit tend to be high.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H2O America and its subsidiaries have unsecured bank lines of credit totaling $370,000 as of December 31, 2025. Drawdowns on our lines of credit are restricted by our funded debt not exceeding a percentage of total capitalization as defined in our debt covenants. H2O America expects to periodically draw down on its lines of credit as dictated by our funding needs and subsequently repay such borrowings with cash from operations and issuance of long-term debt or equity. See also “Sources of Capital” below.</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Budgeted Capital Expenditures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Water Utility Services has budgeted 2026 capital expenditures of approximately $458,000, excluding capital expenditures financed by customer contributions and advances. Additionally, the 2026 budgeted capital expenditures exclude amounts pertaining to the Company’s previously announced acquisition of Quadvest, L.P. The table below illustrates the Company’s 2026 budgeted capital expenditures: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Budgeted Capital</w:t>
            </w:r>
          </w:p>
        </w:tc>
      </w:tr>
      <w:tr>
        <w:trPr>
          <w:trHeight w:val="148"/>
        </w:trPr>
        <w:tc>
          <w:tcPr>
            <w:tcW w:w="9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Expenditures</w:t>
            </w:r>
          </w:p>
        </w:tc>
      </w:tr>
      <w:tr>
        <w:trPr>
          <w:trHeight w:val="195"/>
        </w:trPr>
        <w:tc>
          <w:tcPr>
            <w:tcW w:w="9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CWC</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r>
      <w:tr>
        <w:trPr>
          <w:trHeight w:val="229"/>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r>
      <w:tr>
        <w:trPr>
          <w:trHeight w:val="230"/>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MWC</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458,000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18"/>
          <w:szCs w:val="18"/>
          <w:color w:val="auto"/>
        </w:rPr>
        <w:t>The 2026 capital expenditures budget is concentrated on distribution system investments. Water Utility Services’ capital expenditures are incurred in connection with normal upgrading and expansion of existing facilities and to comply with environmental regulations. Over the next five years, Water Utility Services expects to incur approximately $2,568,000 in capital expenditures, which includes replacement of pipes and mains, maintaining water systems, and installing approximately $400,000 in PFAS treatment. A significant portion of this amount is subject to future respective state regulatory utility commissions’ approval. Capital expenditures have the effect of increasing utility plant rate base on which Water Utility Services earns a return.</w:t>
      </w:r>
    </w:p>
    <w:p>
      <w:pPr>
        <w:spacing w:after="0" w:line="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Water Utility Services’ actual capital expenditures may vary from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7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to these capital expenditures, Water Utility Services expects to incur approximately $100,000 over the next five years, including $25,000 in 2026, in capitalizable costs associated with cloud-based computing arrangements.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Sources of Capital</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H2O America’s ability to finance future construction programs, execute on acquisitions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 H2O America’s regulated operations’ financing activity is designed to achieve capital structures consistent with regulatory guidelines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180"/>
        <w:spacing w:after="0" w:line="391" w:lineRule="auto"/>
        <w:rPr>
          <w:sz w:val="20"/>
          <w:szCs w:val="20"/>
          <w:color w:val="auto"/>
        </w:rPr>
      </w:pPr>
      <w:r>
        <w:rPr>
          <w:rFonts w:ascii="Times New Roman" w:cs="Times New Roman" w:eastAsia="Times New Roman" w:hAnsi="Times New Roman"/>
          <w:sz w:val="18"/>
          <w:szCs w:val="18"/>
          <w:color w:val="auto"/>
        </w:rPr>
        <w:t xml:space="preserve">in the locations where the companies operate. See current authorized capital structures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“Business” under “Regulation and Rates.” </w:t>
      </w:r>
      <w:r>
        <w:rPr>
          <w:rFonts w:ascii="Times New Roman" w:cs="Times New Roman" w:eastAsia="Times New Roman" w:hAnsi="Times New Roman"/>
          <w:sz w:val="18"/>
          <w:szCs w:val="18"/>
          <w:u w:val="single" w:color="auto"/>
          <w:color w:val="auto"/>
        </w:rPr>
        <w:t>Short-term Financing Arrangements</w:t>
      </w:r>
    </w:p>
    <w:p>
      <w:pPr>
        <w:spacing w:after="0" w:line="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H2O America and its subsidiaries have unsecured line of credit agreements where borrowings are used to refinance existing debt, for working capital, and for general corporate purposes. A summary of the line of credit agreements as of December 31, 2025 and 2024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12, 2030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H2O America</w:t>
            </w:r>
          </w:p>
        </w:tc>
        <w:tc>
          <w:tcPr>
            <w:tcW w:w="2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MWC</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SJWTX</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 credit agreement</w:t>
            </w:r>
          </w:p>
        </w:tc>
        <w:tc>
          <w:tcPr>
            <w:tcW w:w="230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11, 2026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August 2, 2028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 (1)</w:t>
            </w:r>
          </w:p>
        </w:tc>
        <w:tc>
          <w:tcPr>
            <w:tcW w:w="2300" w:type="dxa"/>
            <w:vAlign w:val="bottom"/>
            <w:gridSpan w:val="3"/>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May 15, 2025</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3"/>
        </w:trPr>
        <w:tc>
          <w:tcPr>
            <w:tcW w:w="3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86,834</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283,166</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119,124</w:t>
            </w:r>
          </w:p>
        </w:tc>
      </w:tr>
      <w:tr>
        <w:trPr>
          <w:trHeight w:val="21"/>
        </w:trPr>
        <w:tc>
          <w:tcPr>
            <w:tcW w:w="3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On July 11, 2025, CTWS repaid the outstanding balance under this credit agreement and concurrently terminated this credit agreement.</w:t>
      </w:r>
    </w:p>
    <w:p>
      <w:pPr>
        <w:spacing w:after="0" w:line="24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Total outstanding borrowings under the unsecured lines of credit as of December 31, 2025 and 2024 were $86,834 and $119,124, respectively. The weighted-average interest rate on short-term borrowings outstanding at December 31, 2025, was 4.75% compared to 6.08% at December 31, 2024. Cost of borrowing on the lines of credit averaged 5.34% and 6.44% for the years ended December 31, 2025 and 2024, respectively. As of December 31, 2025, the unused portion of the lines of credit available for future borrowings was $283,166.</w:t>
      </w:r>
    </w:p>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All of H2O America’s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December 31, 2025, H2O America and its subsidiaries were in compliance with all covenants on their lines of credit.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H2O America’s lines of credit,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of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Financing Arrangements</w:t>
      </w:r>
    </w:p>
    <w:p>
      <w:pPr>
        <w:spacing w:after="0" w:line="15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H2O America’s and its subsidiaries’ long-term debt activities are for purposes of refinancing short-term borrowings, funding capital expenditures and working capital, and repayments of maturing long-term debt. The following table summarizes the long-term debt issuances and repayments for the year ended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Issuance (Repayment)</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Activity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3"/>
        </w:trPr>
        <w:tc>
          <w:tcPr>
            <w:tcW w:w="6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 Series R, 5.83%</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November 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2055</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term loan, 4.09%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2027</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term loan, 4.15%</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2037</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 Series 2025, 6.08%</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2025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2055</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revolving fund loan, 2.00%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2044</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MWC:</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revolving fund loans, various series, 0.00%-2.58%</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2026-2054</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term loan, 6.70%</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2025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2055</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TWC:</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term loan, 6.68%</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2055</w:t>
            </w:r>
          </w:p>
        </w:tc>
      </w:tr>
      <w:tr>
        <w:trPr>
          <w:trHeight w:val="223"/>
        </w:trPr>
        <w:tc>
          <w:tcPr>
            <w:tcW w:w="638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MWC finances a portion of its capital improvement program through loans under state revolving fund programs, including the Safe Drinking Water Revolving Fund (“SDWSRF”). In 2024, MWC obtained MPUC approval to issue two First Mortgage Bonds through the Maine Municipal Bond Bank. The Series X Bond totaled $3,330, inclusive of $598 of principal forgiveness, resulting in a net loan of $2,732; the issuance was approved on August 22, 2024 and completed on October 1, 2024. The Series Y Bond totaled $3,596, inclusive of $1,258 of principal forgiveness, resulting in a net loan of $2,337; the issuance was approved on August 22, 2024 and completed on November 1, 2024. Each bond constitutes an unsecured obligation of MWC, with the Series X Bond maturing on April 1, 2044 and the Series Y Bond maturing on April 1, 2054, and each bears a fixed interest rate of 1%. Interest is payable semi-annually in arrears on April 1 and October 1, commencing April 1,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6, 2024, TWC issued a promissory note to a national cooperative bank under an existing master loan agreement for a principal amount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$20,000 at a fixed interest rate of 6.47%. The note is an unsecured obligation of TWC due on November 20, 2054. Interest is payable quarterly in arrears on the 20th day of January, April, July and October of each year. In January 2025, TWC amended the existing master loan agreement to modify one of the financial covenants. All of the other terms and conditions remain the same.</w:t>
      </w:r>
    </w:p>
    <w:p>
      <w:pPr>
        <w:spacing w:after="0" w:line="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23, 2025, MWC submitted an application with MPUC seeking approval to issue unsecured notes in an amount up to $25,000. The MPUC granted approval on June 17, 2025. On July 10, 2025, MWC issued a promissory note to a national cooperative bank under an existing master loan agreement for a principal amount of $25,000 at a fixed interest rate of 6.70%. The note is an unsecured obligation of MWC due on July 20, 2055. Interest is payable quarterly in arrears on the 20th day of January, April, July and October of each year.</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18, 2025, TWC issued a promissory note to a national cooperative bank under an existing master loan agreement for a principal amount of $40,000 at a fixed interest rate of 6.68%. This note is an unsecured obligation of TWC due on September 1, 2055. Interest is payable quarterly in arrears on the 20th day of January, April, July and October of each year.</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28, 2025, CWC entered into a note purchase agreement with certain institutional investors, pursuant to which the company agreed to sell an aggregate principal amount of $60,000 of its 6.08% Senior Notes, Series 2025 (“Series 2025 Notes”). The Series 2025 Notes are unsecured obligations of CWC and are due on November 1, 2055. Interest is payable semi-annually in arrears on May 1st and November 1st of each year, commencing May 1, 2026.</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November 12, 2025, SJWC entered into a note purchase agreement with certain institutional investors, pursuant to which the company sold an aggregate principal amount of $55,000 of its 5.83% Senior Notes, Series R (“Series R Notes”). The Series R Notes are unsecured obligations of SJWC and are due on November 1, 2055. Interest is payable semi-annually in arrears on May 1st and November 1st of each year, commencing May 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H2O America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December 31, 2025, H2O America and its subsidiaries were in compliance with all covenants related to its long-term debt agreements.</w:t>
      </w:r>
    </w:p>
    <w:p>
      <w:pPr>
        <w:spacing w:after="0" w:line="72" w:lineRule="exact"/>
        <w:rPr>
          <w:sz w:val="20"/>
          <w:szCs w:val="20"/>
          <w:color w:val="auto"/>
        </w:rPr>
      </w:pPr>
    </w:p>
    <w:p>
      <w:pPr>
        <w:ind w:right="488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“Notes to Consolidated Financial Statements.” </w:t>
      </w:r>
      <w:r>
        <w:rPr>
          <w:rFonts w:ascii="Times New Roman" w:cs="Times New Roman" w:eastAsia="Times New Roman" w:hAnsi="Times New Roman"/>
          <w:sz w:val="18"/>
          <w:szCs w:val="18"/>
          <w:u w:val="single" w:color="auto"/>
          <w:color w:val="auto"/>
        </w:rPr>
        <w:t>Equity Financing Arrangements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29, 2024, H2O America entered into an equity distribution agreement (the “New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Since the inception of the New Equity Distribution Agreement, H2O America has issued and sold 2,763,359 shares of common stock at a weighted average price of $52.39 for a total net proceeds of $142,975 and has $55,239 of aggregate gross sales price of shares remaining to issue under the New Equity Distribution Agreement as of December 31, 2025.</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H2O America issued and sold a total of 2,387,846 shares of common stock with a weighted average price of $51.90 per share and received $122,806 in net proceeds under the New Equity Distribution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Rating</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H2O America’s ability to draw on its lines of credit, issue long-term debt, sell its equity or earn interest income. In addition, government policies, the state of the credit markets and other factors could result in increased interest rates, which would increase H2O America’s cost of capital. While our ability to obtain financing will continue to be a risk, we believe that based on our 2025 and 2024 activities, we will have access to the external funding sources necessary to implement our ongoing capital investment programs in the future. On July 15, 2025, Standard &amp; Poor’s Ratings Services revised the outlook for H2O America, CTWS and CWC from stable to negative following the announcement of the Quadvest acquisition.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are the current Standard &amp; Poor’s Rating Service assigned company ratings: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38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8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H2O America</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Off-Balance Sheet Arrangement/Contractual Obligations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H2O America has no significant contractual obligations not fully recorded on its Consolidated Balance Sheet or not fully disclosed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contractual obligations and commitments as of December 31, 2025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Contractual Obligations Due in</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14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3"/>
                <w:szCs w:val="13"/>
                <w:color w:val="auto"/>
              </w:rPr>
            </w:pPr>
          </w:p>
        </w:tc>
        <w:tc>
          <w:tcPr>
            <w:tcW w:w="114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3"/>
                <w:szCs w:val="13"/>
                <w:color w:val="auto"/>
              </w:rPr>
            </w:pPr>
          </w:p>
        </w:tc>
        <w:tc>
          <w:tcPr>
            <w:tcW w:w="112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Water Utility Services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term loans, Water Utility Services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286,295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264,275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for construction, SJWC (1)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California Pollution Control Financing Authority Revenue Bond,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 Innovations Revenue Bonds, CWC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revolving fund loans, CWC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revolving fund loans, MWC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H2O America</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term loans, CTWS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Seller financing debt, TWC (2)</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383,966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1,496,148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interest on contractual obligations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1,469,279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157,834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142,735</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1,088,701</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line="259" w:lineRule="auto"/>
        <w:tabs>
          <w:tab w:leader="none" w:pos="3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advances for construction were $201,413 of which $108,311 was related to non-refundable advances for construction and $34,615 was related to advances which are refundable based on service connections made.</w:t>
      </w:r>
    </w:p>
    <w:p>
      <w:pPr>
        <w:ind w:left="660" w:right="120" w:hanging="652"/>
        <w:spacing w:after="0" w:line="283" w:lineRule="auto"/>
        <w:tabs>
          <w:tab w:leader="none" w:pos="32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payments on the seller financing shown in the table above reflects management’s current estimate. The actual timing of payments will be based upon the actual quantities of groundwater produced from the acquired wells.</w:t>
      </w:r>
    </w:p>
    <w:p>
      <w:pPr>
        <w:spacing w:after="0" w:line="7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With regard to uncertain tax positions, no such amounts are reflected in the table above since we are unable to predict the timing of tax settlements as tax audits can involve complex issues and the resolution of those issues may span multiple years, particularly if subject to negotiation or litigation. For further discussion on uncertain tax positions, please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of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Water Supply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SJWC purchases water from Valley Water under terms of a master contract expiring in 2051. Delivery schedules for purchased water are based 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year beginning July 1, and are negotiated every three years under terms of the master contract with Valley Water.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SJWC purchased from Valley Water 15.9 billion gallons ($120,322), 17.0 billion gallons ($117,698) and 18.3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gallons ($111,173), respectively, of contract water. On June 3, 2025, Valley Water Board of Directors approved treated water deliveries reflecting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delivery schedule reduced by 23% through June 30, 2026. Based on current prices and estimated deliveries, SJWC is committed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Valley Water a minimum of 90% of the reduced delivery schedule, or 18.9 billion gallons ($148,795) of water at the current contract water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million per billion gallons in the year ending December 31, 2026. Additionally, SJWC purchases non-contract water from Valley Water on 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needed” basis if the water supply is available. The contract water rates for SJWC are determined by Valley Water. These rates are adjusted periodically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coincide with Valley Water’s fiscal year, which ends on June 30. The contract water rate for Valley Water’s fiscal years 2026, 2025 and 2024 was $7.872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$7.194 million, and $6.411 million per billion gallons, respectively. The contractual cost of the groundwater extraction charge for water pumped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ground basin was $7.519 million, $6.840 million, and $6.058 million per billion gallons for Valley Water’s fiscal years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SJWC also pumps water from the local groundwater basin. There are no delivery schedules or contractual obligations associated with the purchase of groundwater. Valley Water determines the groundwater extraction charge and it is applied on a per unit basis. In addition to the Valley Water groundwater extraction charge, SJWC also incurs power costs to pump the groundwater from the basin.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CWC has an agreement with RWA to purchase water. The agreement was signed in April 2006 and became effective upon the receipt of all regulatory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in 2008 and will remain in effect for a minimum of 50 years upon becoming effective. CWC has the option, but is under no obligation,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up to one million gallons of water per day at the then current wholesale rates per the agreement ($3.3 million per billion gallons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CWC has an agreement with the MDC to purchase water from MDC to serve the Unionville system. The agreement became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6, 2000 and has a term of 50 years beginning May 19, 2003, the date the water supply facilities related to the agreement were placed in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CWC has agreed to purchase 0.28 billion gallons of water annually from MDC. The rate charged by the MDC at December 31, 2025 were $3.91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hundred cubic feet.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MWC had an agreement with the Kennebec Water District for potable water service. The agreement has been in place for 20 years and was extended on November 7, 2020 for a new term of up to 20 years. In November 2025, the agreement was terminated and MWC transitioned from the previously negotiated rate to a standard tariff rate. MWC guarantees a minimum consumption of 50 million gallons of water annually. Water sales to MWC are billed at a wholesale discount of $0.20 per hundred cubic feet of water below Kennebec Water District's tariffed rates. The current tariff rate was $1.51 per hundred cubic feet as of December 31, 2025.</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TWC has long-term contracts with the GBRA. The agreements expire in 2037, 2040, 2044 and 2050. The agreements, which are take-or-pay contracts, provide TWC with 7,602 acre-feet per year of water supply from Canyon Lake. The water rate may be adjusted by GBRA at any time, provided GBRA gives TWC a 60-day written notice on the proposed adjustment. TWC also has treated water supply agreements with the LCRA and WTCPUA expiring in 2059 and 2046, respectively, for 350 acre-feet of water per each agreement per year from Lake Austin and the Colorado River, respectively, at prices that may be adjusted periodically by the agencies.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Benefit Arrangements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SJWC and CTWS sponsor noncontributory defined benefit pension plans and provide health care and life insurance benefits for retired employees. In 2025, SJWC and CTWS contributed $5,675 and $7 to the pension plans and other postretirement benefit plans, respectively. In 2026, SJWC and CTWS expect to make required and discretionary cash contributions of up to $7,682 to the pension plans and other postretirement benefit plans. The amount of required contributions for years thereafter is not actuarially determinable.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SJWC’s other benefit obligations include employees’ postretirement benefits, an Executive Supplemental Retirement Plan, Cash Balance Executive Supplemental Retirement Plan, Special Deferral Election Plan and Deferral Election Program for non-employee directors. Under these benefit plans, SJWC is committed to pay approximately $2,299 annually to former officers and directors. Future payments may fluctuate depending on the life span of the retirees and as current officers and executives retire.</w:t>
      </w:r>
    </w:p>
    <w:p>
      <w:pPr>
        <w:spacing w:after="0" w:line="7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CWC’s other benefit obligations include employees’ postretirement benefits, supplemental executive retirement agreements and deferred compensation agreements and plan. Future payments may fluctuate depending on the contribution rates of employees into the deferred compensation plan and the life span of the retirees and as current officers and executives retire. Under these benefit plans, CWC is committed to pay approximately $1,382, annually to former officers and directors.</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 and New Accounting Pronouncements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Consolidated Financial Statements” for a discussion of recently adopted accounting pronouncements and new accounting pronouncements issued and pending adoption.</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H2O America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H2O America’s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11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H2O America has no derivative financial instruments, financial instruments with significant off-balance sheet risks, or financial instruments with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H2O America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H2O America and subsidiaries (the “Company”) as of December 31, 2025 and 2024, the related consolidated statements of comprehensive income, changes in stockholders’ equity, and cash flows, for each of the three years in the period ended December 31, 2025, and the related notes and the schedules listed in the Index at Item 15 (collectively referred to as the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35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Impact of Rate Regulation on the Financial Statements — Refer to Note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is subject to rate regulation by state utility regulatory agencies (the “Commissions”), which have jurisdiction with respect to the rates of the Company’s water and wastewater services. Management has determined it meets the requirements under generally accepted accounting principles to prepare its financial statements applying the specialized rules to account for the effects of cost-based rate regulation. Accounting for the economics of rate regulation impacts multiple financial statement line items and disclosures, such as depreciable utility plant; regulatory assets and liabilities; operating revenues; operation and maintenance expense; and depreciation expense.</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Commissions establish rates for the purpose of permitting the recovery of the cost of service and a return on investment. The Company’s rates are subject to regulatory ratemaking processes. The Company records deferred costs and credits on the consolidated balance sheets as regulatory assets and liabilities when it is probable that these costs and credits will be recognized in the ratemaking process in a period different from when the costs and credits are incurred. Accounting for such costs and credits is based on management’s judgment and prior historical ratemaking practices, and it occurs when management determines that it is probable that these costs and credits will be recognized in the future revenue of the Company through the ratemaking process.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identified the impact of rate regulation as a critical audit matter due to the significant judgments that underlie the Company’s financial statement line items and disclosure impacted by rate regulation and the high degree of subjectivity involved in assessing the impact of regulatory decisions on the financial statements. Management judgments include assessing the probability of (1) recovery in future rates of incurred costs and (2) the requirement to refund amounts to customers. Given that management’s accounting judgements are based on consideration of evidence, such as regulatory rules and decisions, past practice, and the uncertain outcomes of future regulatory decisions, auditing these judgements required specialized knowledge of accounting for rate regulation and the rate setting process due to its inherent complexities and pervasive impact on the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impact of rate regulation include the following, among others:</w:t>
      </w:r>
    </w:p>
    <w:p>
      <w:pPr>
        <w:spacing w:after="0" w:line="117" w:lineRule="exact"/>
        <w:rPr>
          <w:sz w:val="20"/>
          <w:szCs w:val="20"/>
          <w:color w:val="auto"/>
        </w:rPr>
      </w:pPr>
    </w:p>
    <w:p>
      <w:pPr>
        <w:ind w:left="660" w:right="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initial recognition of amounts as utility plant and regulatory assets or liabilities and the evaluation of the probability of (1) the recovery in future rates of costs incurred as utility plant and deferred as regulatory assets, and (2) a refund or a future reduction in rates that should be reported as regulatory liabilities. We also tested the effectiveness of management’s controls over the monitoring and evaluation of regulatory developments that may affect the probability of recovering costs in future rates or of a future reduction in rates, and controls over relevant computations impacting certain regulatory asset or liability balances.</w:t>
      </w:r>
    </w:p>
    <w:p>
      <w:pPr>
        <w:spacing w:after="0" w:line="7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regulatory orders issued by the Commissions to the Company, regulatory statutes, and other publicly available information to evaluate management’s determination of the accounting impacts of any new or revised regulatory decisions and their impact on measurement of related regulatory assets and liabilities.</w:t>
      </w:r>
    </w:p>
    <w:p>
      <w:pPr>
        <w:spacing w:after="0" w:line="6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supporting documentation from management regarding the evidence, such as regulatory rules and decisions, past practices, and other facts and circumstances, used in the measurement of regulatory assets and liabilities for compliance with the related orders. We reconciled the underlying data or inputs used in the measurement to rate decisions approved by the Commissions and tested the mathematical accuracy of the calculations.</w:t>
      </w:r>
    </w:p>
    <w:p>
      <w:pPr>
        <w:spacing w:after="0" w:line="7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analysis from management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disclosures related to the impacts of rate regulation, including the balances recorded, and regulatory developments, were appropriate and consistent with the information obtained in our procedures.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44,657</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4,688,644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4,249,314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179,486</w:t>
            </w:r>
          </w:p>
        </w:tc>
      </w:tr>
      <w:tr>
        <w:trPr>
          <w:trHeight w:val="229"/>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51,604</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utility plant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5,054,199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4,525,061</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1,036,450</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utility plant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3,933,967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3,488,611</w:t>
            </w:r>
          </w:p>
        </w:tc>
      </w:tr>
      <w:tr>
        <w:trPr>
          <w:trHeight w:val="250"/>
        </w:trPr>
        <w:tc>
          <w:tcPr>
            <w:tcW w:w="8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Nonutility properties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nonutility properties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37"/>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8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uncollectible accounts of $722 and $1,172 in 2025 and 2024,</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68,679</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unbilled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60,847</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190,714</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assets,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224,055</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66,422</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977,768</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4,658,309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4"/>
        </w:trPr>
        <w:tc>
          <w:tcPr>
            <w:tcW w:w="80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in 2025 and 2024; issued and outstanding</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36,118,242 shares in 2025 and 33,629,169 shares in 2024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827,796</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537,184</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1,540,771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1,366,974</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1,866,819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1,706,904</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3,407,590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3,073,878</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Lines of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119,124</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25,118</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56,256</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360" w:type="dxa"/>
            <w:vAlign w:val="bottom"/>
          </w:tcPr>
          <w:p>
            <w:pPr>
              <w:spacing w:after="0"/>
              <w:rPr>
                <w:sz w:val="19"/>
                <w:szCs w:val="19"/>
                <w:color w:val="auto"/>
              </w:rPr>
            </w:pPr>
          </w:p>
        </w:tc>
        <w:tc>
          <w:tcPr>
            <w:tcW w:w="17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23,236</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273,378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261,173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for construction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155,397</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340,738</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liabilities,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483,719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5,149,566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4,658,309</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800,590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748,439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water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158,568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47,636</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311,161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98,656</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105,868</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623,063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577,936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520,928</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149,435</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non-service credit (cost)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90,943</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 gain on investment, net of taxes of $0 in 2025, $(163) in 2024 and</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$166 in 2023</w:t>
            </w:r>
          </w:p>
        </w:tc>
        <w:tc>
          <w:tcPr>
            <w:tcW w:w="3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175"/>
        </w:trPr>
        <w:tc>
          <w:tcPr>
            <w:tcW w:w="6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 to pension benefit plans, net of taxes of $0 in 2025, $0 in 2024 and $80 in</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35,002,252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32,701,292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31,575,197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35,102,487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32,779,573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31,663,274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40"/>
          </w:cols>
          <w:pgMar w:left="320" w:top="121" w:right="339" w:bottom="1440" w:gutter="0" w:footer="0" w:header="0"/>
        </w:sect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68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1"/>
                <w:szCs w:val="21"/>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21"/>
                <w:szCs w:val="21"/>
                <w:color w:val="auto"/>
              </w:rPr>
            </w:pPr>
          </w:p>
        </w:tc>
        <w:tc>
          <w:tcPr>
            <w:tcW w:w="10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30,801,912</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gain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$166</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$80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($1.52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32,023,004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loss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$(163)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($1.60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33,629,169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2,387,846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($1.68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36,118,242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-5082540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-3248660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13232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-2014220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651,004</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458,356</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1,110,868</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80,659</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0" w:type="dxa"/>
            <w:vAlign w:val="bottom"/>
          </w:tcPr>
          <w:p>
            <w:pPr>
              <w:spacing w:after="0"/>
              <w:rPr>
                <w:sz w:val="1"/>
                <w:szCs w:val="1"/>
                <w:color w:val="auto"/>
              </w:rPr>
            </w:pPr>
          </w:p>
        </w:tc>
      </w:tr>
      <w:tr>
        <w:trPr>
          <w:trHeight w:val="218"/>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85,008</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(52,132)</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(52,132)</w:t>
            </w:r>
          </w:p>
        </w:tc>
        <w:tc>
          <w:tcPr>
            <w:tcW w:w="0" w:type="dxa"/>
            <w:vAlign w:val="bottom"/>
          </w:tcPr>
          <w:p>
            <w:pPr>
              <w:spacing w:after="0"/>
              <w:rPr>
                <w:sz w:val="1"/>
                <w:szCs w:val="1"/>
                <w:color w:val="auto"/>
              </w:rPr>
            </w:pPr>
          </w:p>
        </w:tc>
      </w:tr>
      <w:tr>
        <w:trPr>
          <w:trHeight w:val="218"/>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537,184</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1,366,974</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102,578</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122,806</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122,808</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(58,645)</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958,188</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581,080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1,540,771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40" w:space="100"/>
            <w:col w:w="5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102,578</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93,967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84,987</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120,490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115,050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108,138</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6,444</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Allowance for equity funds used during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sale of nonutility properties and other assets</w:t>
            </w:r>
          </w:p>
        </w:tc>
        <w:tc>
          <w:tcPr>
            <w:tcW w:w="9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acquired assets and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and accrued unbilled revenue</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(12,663)</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(10,869)</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groundwater extraction charges, purchased water and power</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 receivable and payable, and other accrued taxes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Postretirement benefits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assets and liabilities excluding income tax temporary differences and postretirement benefits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7,374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12,278</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Up-front service concession payments</w:t>
            </w:r>
          </w:p>
        </w:tc>
        <w:tc>
          <w:tcPr>
            <w:tcW w:w="9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26,114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litigation settlement, net</w:t>
            </w:r>
          </w:p>
        </w:tc>
        <w:tc>
          <w:tcPr>
            <w:tcW w:w="92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7,823</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changes, net</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(11,254)</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7,529</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244,803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195,526</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190,831</w:t>
            </w:r>
          </w:p>
        </w:tc>
      </w:tr>
      <w:tr>
        <w:trPr>
          <w:trHeight w:val="18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utility plant:</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Company-funded</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(489,607)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(353,029)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(271,772)</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Contributions in aid of construction</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(16,855)</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Additions to nonutility assets and real estate investments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(24,244)</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business acquisitions</w:t>
            </w:r>
          </w:p>
        </w:tc>
        <w:tc>
          <w:tcPr>
            <w:tcW w:w="9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to retire utility plant, net of salvage</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r>
      <w:tr>
        <w:trPr>
          <w:trHeight w:val="196"/>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real estate investments and release of escrow deposit</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40,572</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(520,101)</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(340,095)</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(322,272)</w:t>
            </w: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from lines of credit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436,530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146,415</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lines of credit</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(468,821)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(295,260)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(134,493)</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185,167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185,329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long-term borrowings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(48,975)</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(47,905)</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Receipts of advances and contributions in aid of construction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59,902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22,425</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Refunds of advances for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122,808</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85,008</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80,659</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litigation settlement, net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16,949</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changes, net</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w:t>
            </w: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284,870</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145,960</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128,820</w:t>
            </w: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9,572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11,114</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12,344</w:t>
            </w:r>
          </w:p>
        </w:tc>
      </w:tr>
      <w:tr>
        <w:trPr>
          <w:trHeight w:val="19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9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20,686</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11,114</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9,723</w:t>
            </w:r>
          </w:p>
        </w:tc>
      </w:tr>
      <w:tr>
        <w:trPr>
          <w:trHeight w:val="53"/>
        </w:trPr>
        <w:tc>
          <w:tcPr>
            <w:tcW w:w="64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196"/>
        </w:trPr>
        <w:tc>
          <w:tcPr>
            <w:tcW w:w="6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(refunded) during the year for:</w:t>
            </w:r>
          </w:p>
        </w:tc>
        <w:tc>
          <w:tcPr>
            <w:tcW w:w="9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79,428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67,508</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 of amounts capitalized</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72,093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69,744</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64,608</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23,020</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payables for additions to utility plant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48,146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35,904</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Utility property installed by developers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receivable from sale of real estate investments</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selling expenses on sale of real estate investments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Seller financing in asset acquisition, net of discount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w:t>
            </w:r>
          </w:p>
        </w:tc>
      </w:tr>
    </w:tbl>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 and where otherwise noted)</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Operations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H2O America, its wholly owned subsidiaries, and one variable interest entity in which one H2O America subsidiary is the primary beneficiary. All intercompany transactions and balances have been eliminated in consolidation. The accounting policies of H2O America’s subsidiaries comply with the applicable uniform system of accounts prescribed by the respective regulators and conform to generally accepted accounting principles for rate-regulated public utilities.</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H2O America is a holding company that conducts its business through the following wholly owned subsidiaries: San Jose Water Company (“SJWC”), H2O America TX Holdings, Inc., H2O America Land Company, H2O America NE LLC, and National Water Utility Service, LLC (“NWU”). H2O America TX Holdings, Inc. is a holding company for its wholly owned subsidiaries, SJWTX, Inc., doing business as The Texas Water Company (“TWC”), Texas Water Operation Services, LLC (“TWOS”) and Texas Water Resources, LLC (“TWR”). H2O America NE LLC is the holding company for Connecticut Water Service, Inc. (“CTWS”) whose wholly owned subsidiaries are The Connecticut Water Company (“CWC”), The Maine Water Company (“MWC”), New England Water Utility Services, Inc. (“NEWUS”), and Chester Realty, Inc. NWU is the contracting entity for shared services among the H2O America affiliates formed in October 2024. H2O America, through its wholly owned subsidiaries, primarily provides water utility and other related services in California, Connecticut, Maine and Texas. H2O America has business in property management and real estate investment activity conducted by H2O America Land Company and Chester Realty, Inc.</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TWC is a public utility in the business of providing water service in Bandera, Blanco, Comal, Hays, Kendall, Medina and Travis Counties in the growing region between San Antonio and Austin, Texas. TWC additionally provides wastewater service in Comal and Kendall counties. 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 TWOS was created for non-tariffed service operations and TWR was formed to hold wholesale water supply assets.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Depreciable Utility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depreciable plant and equipment as of December 31, 2025 and 2024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 of supply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243,335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Pumping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treatment plant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367,836</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and distribution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3,323,482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3,015,978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plant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394,632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335,599</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depreciable plant and equipment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4,688,644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4,249,314</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remaining service lives of groups of assets. The estimated service lives of depreciable plant and equipment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3"/>
        </w:trPr>
        <w:tc>
          <w:tcPr>
            <w:tcW w:w="794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 of supply</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to 100 years</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Pumping plant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70 years</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treatment plant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62 years</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and distribution plant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to 100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plant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68 years</w:t>
            </w:r>
          </w:p>
        </w:tc>
      </w:tr>
    </w:tbl>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years 2025, 2024 and 2023, depreciation expense as a percentage of the beginning of the year balance of depreciable plant was 2.75%, 2.9% and 2.9%, respectively. Depreciation expense for utility plant for the years ended December 31, 2025, 2024 and 2023 was $114,265, $111,575 and $104,325, respectively. The cost of utility plant retired (less salvage) is charged to accumulated depreciation and no gain or loss is recognized. To the extent H2O America recovers retirement costs through rates during the life of the associated asset and before the costs are incurred, these amounts result in a regulatory liability being reported based on the amounts previously recovered through customer rates until the costs to retire those assets are incurred.</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Allowance For Funds Used During Construction (“AFUDC”)</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AFUDC represents the capitalized costs of borrowed funds or a return on equity funds used to finance utility plant under construction and is capitalized as part of construction work in progress. AFUDC is recorded to the extent approved by the respective states’ utility regulators and is recovered through water rates as the utility plant depreciates. The amount of AFUDC debt capitalized in 2025, 2024 and 2023 was $7,335, $3,524 and $2,900, respectively. Interest on long-term debt is presented net of AFUDC debt capitalized on the Consolidated Statements of Comprehensive Income. The amount of AFUDC equity capitalized in 2025, 2024 and 2023 was $6,237, $2,362 and $2,114, respectively, reflected in “Other, net” on the Consolidated Statements of Comprehensive Income.</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Finite-lived intangible assets are recorded at cost and are amortized using the straight-line method over the estimated useful life of the asset, ranging from 3 to 70 years. Indefinite-lived intangibles assets are not amortized, but instead are tested for impairment annually, or more frequently if events or changes in circumstances indicate that it is more likely than not that the asset is impaired.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“Intangible Assets”).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Nonutility Properties and Real Estate Investments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Nonutility properties and real estate investments are recorded at cost and consist primarily of land and buildings. Net gains and losses from the sale of nonutility properties and real estate investments are recorded as a component of other (expense) income and operating expense, respectively, in the Consolidated Statements of Comprehensive Income. Nonutility property is property that is neither used nor useful in providing water utility services to customers and is excluded from rate base for rate-setting purposes. SJWC recognizes gain or loss on the disposition of nonutility property in accordance with California Public Utilities Commission (“CPUC”) Code Section 790, whereby the net proceeds are reinvested back into property that is useful in providing water utility services to customers. CTWS and TWC do not have regulatory restrictions on the use of proceeds from the sale of nonutility property. There is no depreciation associated with Water Utility Services nonutility property as it is all undeveloped land.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nonutility properties and real estate investments are as follows as of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water supply assets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8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on buildings and improvements for real estate investments is computed using the straight-line method over the estimated useful lives of the assets, ranging from 7 to 39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H2O America applies the provisions of Financial Accounting Standards Board (“FASB”) ASC Topic 805—“Business Combinations” for the accounting related to business and asset acquisitions. First, H2O America applies the guidance in Topic 805 to determine whether a transaction represents a business combination or an acquisition of assets. If the transaction is a business combination, Topic 805 requires H2O America to recognize separately from goodwill the assets acquired and the liabilities assumed at the acquisition date fair values. Goodwill as of the acquisition date is measured as the excess of consideration transferred over the net of the acquisition date fair values of the assets acquired and the liabilities assumed. If the transaction is an acquisition of assets, the cost of the transaction, including transaction costs, is allocated to the individual assets acquired and liabilities assumed on a relative fair value basis without recognition of goodwill. While H2O America uses best available estimates and assumptions to accurately value assets acquired and liabilities assumed at the acquisition date, such estimates are inherently uncertain and subject to refinement. For business combinations, Topic 805 provides for a measurement period from the acquisition date of up to one year, during which we may record adjustments to the assets acquired and liabilities assumed with the corresponding offset to goodwill. Upon the conclusion of the measurement period, any subsequent adjustments are recorded to the Consolidated Statements of Comprehensive Income. Accounting for business combinations and asset acquisitions requires H2O America to make significant estimates and assumptions, especially at the acquisition date, including estimates for intangible assets, contractual obligations assumed and pre-acquisition contingencies. Although H2O America believes that the assumptions and estimates we make are reasonable and appropriate, they are based in part on historical experience and information obtained from the acquired company’s management and are inherently uncertain. Events and circumstances may occur that may affect the accuracy or validity of such assumptions, estimates or actual results. Examples of critical estimates in valuing certain of the intangible assets we have acquired include, but are not limited to: future expected cash flows from services; historical and expected customer attrition rates and anticipated growth in revenue from acquired customers; the expected use of the acquired assets; and discount rates.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“Acquisitions” for further information on business combinations and asset acquisitions.</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Impairment of Long-Lived Assets and Goodwill</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FASB ASC Topic 360—“Property, Plant and Equipment,” the long-lived assets of H2O America, including property, plant and equipment and finite-lived intangible assets, are reviewed for impairment when changes in circumstances or events indicate that the carrying amount of the assets may not be recoverable. In assessing qualitative factors, H2O America considers the impact of these key factors: change in industry and competitive environment, financial performance, and other relevant company-specific events. When such changes in circumstances or events occur, the company assesses recoverability by determining whether the carrying value of such assets will be recovered through the undiscounted expected future cash flows. To the extent an impairment exists, the asset is written down to its estimated fair value with a corresponding charge to operations in the period in which the impairment is identified. No impairments occurred during 2025 and 2024.</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on October 1st or more frequently if an event occurs or circumstances change that would, more likely than not, reduce the fair value of a reporting unit below its carrying amount. Indefinite-lived intangible assets, other than goodwill, are not amortized but are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or more frequently if an event occurs or circumstances change that would, more likely than not, reduce the fair value of indefinite-lived intangible assets below their carrying amount. In performing impairment tests of goodwill and indefinite-lived intangible assets, H2O America first performs a qualitative assessment to determine whether it is necessary to perform the quantitative impairment test. In assessing the qualitative factors, H2O America considers the impact of these key factors: change in industry and competitive environment, financial performance, macroeconomic conditions, and other relevant Company-specific events. If H2O America determines that as a result of the qualitative assessment it is more likely than not (&gt; 50% likelihood) that the fair value is less than carrying amount, then a quantitative test is performed. As of October 1, 2025, H2O America performed qualitative assessments of both goodwill and indefinite-lived intangible assets and found no indicators of impairment and therefore did not perform quantitative impairment tests. No impairments of goodwill or indefinite-lived intangible assets occurred during 2025, 2024 or 2023.</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consisted of cash on deposit with banks and short-term, highly liquid investments with original maturities of three months or less.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the invoiced amounts. The allowance for uncollectible accounts is H2O America’s best estimate of credit losses in its existing accounts receivable and is determined based on current expected losses. The estimate 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historical loss information adjusted for current conditions. Accounts balances are written off against the allowance when it is probable the receivable will not be recovered or is over a certain number of days outstanding. During the second quarter of 2024, H2O America recorded a reduction to its allowance for credit losses of $7,822, of which $3,960 resulted in a reduction to regulatory assets and $3,862 was recorded through administrative and general expense.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Financial Instruments and Investments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following instruments are not measured at fair value on the company’s Consolidated Balance Sheets but require disclosure of fair values: cash and cash equivalents, accounts receivable, accounts payable, and lines of credit. The estimated fair value of such instruments approximates their carrying value as reported on the Consolidated Balance Sheets. The fair value of such financial instruments are determined using the income approach based on the present value of estimated future cash flows. The fair value of these instruments would be categorized as Level 2 in the fair value hierarchy, with the exception of cash and cash equivalents, which would be categorized as Level 1. The fair value of long-term debt is discussed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“Long-Term Debt” and pension plan assets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“Benefit Plans.”</w:t>
      </w:r>
    </w:p>
    <w:p>
      <w:pPr>
        <w:spacing w:after="0" w:line="1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H2O America has investments in company owned life insurance which are valued at cash surrender value of the policies as reported by the insurer. The value of these contracts is based principally on a referenced pool of investment funds that actively redeem shares, are observable and measurable, and are presented in “Investments” on H2O America’s Consolidated Balance Sheets. As of December 31, 2025 and 2024, the value of the company owned life insurance was $9,870 and $8,944, respectively, of which $4,852 and $4,294, respectively, was related to assets to fund CTWS’ supplemental retirement plan agreements. See discussion on pension plans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“Benefit Plans.”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recognized for the effect of temporary differences between financial and tax reporting. Deferred tax assets and liabilities are measured using current tax rates in effect. The effect on deferred tax assets and liabilities of a change in tax rates is recognized in the period that includes the enactment date.</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regulators, investment tax credits resulting from public utility plant additions are deferred and amortized over the estimated useful lives of the related property. In addition, investment tax credits resulting from other asset additions are recognized in the year the property is put in service.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Advances for Construction and Contributions in Aid of Construction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California, advances for construction received after 1981 are primarily refunded ratably over 40 years. In Connecticut and Maine, advances for construction are refunded as services are connected to the main over periods not exceeding 15 years and in Texas advances for construction are primarily non-refundable. Estimated refunds for the next five years and thereafter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Estimated Refunds</w:t>
            </w:r>
          </w:p>
        </w:tc>
      </w:tr>
      <w:tr>
        <w:trPr>
          <w:trHeight w:val="23"/>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45,627</w:t>
            </w:r>
          </w:p>
        </w:tc>
      </w:tr>
    </w:tbl>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2025, advances for construction totaled $201,413 including $108,311 in non-refundable advances and $34,615 in advances that will be refunded based on service connections made, though the timing of these refunds cannot be estimated. As of December 31, 2024, advances for construction totaled $155,397 including $64,920 in non-refundable advances and $31,983 in advances that will be refunded based on service connections made, though the timing of these refunds cannot be estimated. As of December 31, 2025 and 2024, the fair value of the advances for construction refunded ratably over 40 years is $51,356 and $43,718, respectively.</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Contributions in aid of construction represent funds or property received from developers that are not refundable under applicable regulations. Depreciation applicable to utility plant constructed with these contributions is charged to contributions in aid of construction.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H2O America’s asset retirement obligation is recorded as a liability included in other non-current liabilities. It reflects principally the retirement costs of wells and other anticipated clean-up costs, which by law, must be remediated upon retirement.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asset retirement obligation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retirement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4,303</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obligation, present value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887</w:t>
            </w: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H2O America recognizes revenue under ASC Topic 606—“Revenue from Contracts with Customers” for metered revenue of Water Utility Services, which includes billings to customers based on meter readings plus an estimate of water used between the customers’ last meter reading and the end of the accounting period. H2O America satisfies its performance obligation upon delivery of water to the customer at which time the customer consumes the benefits provided by the company. The customer is generally billed on a quarterly, monthly, or bi-monthly basis after water delivery has occurred. The customer is charged both a service charge which is based upon meter size and covers a portion of the fixed costs of furnishing water to the customer and a consumption charge based on actual water usage. Unbilled revenue from the last meter reading date to the end of the accounting period is estimated based on the most recent usage patterns, production records and the effective tariff rates. As the company has the right to bill for services that it has provided, H2O America estimates the dollar value of deliveries during the unbilled period and recognizes the associated revenue. Actual results could differ from those estimates, which may result in an adjustment to revenue when billed in a subsequent period.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H2O America also recognizes revenue under ASC Topic 980-605-25—“Alternative Revenue Programs.” Under programs established by the CPUC and Public Utilities Regulatory Authority of Connecticut (“PURA”), allowing for automatic adjustment of future rates, the company recognizes revenue when it is objectively determinable, probable of recovery and expected to be collected within 24 months of the year-end in which the revenue is recognized. A reserve, based on an estimate of actual usage over the recovery period, is recorded for any amounts H2O America estimates will not be collected within the 24-month period. H2O America’s alternative revenue programs include SJWC’s Water Conservation Memorandum Account (“WCMA”) and CWC’s Water Rate Adjustment mechanism (“WRA”). See further discussion on WCMA and WRA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“Regulatory Matters.”</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H2O America’s revenues also reflect the impact of other balancing and memorandum accounts and other regulatory mechanisms that are accounted for under FASB ASC Topic 980—“Regulated Operations.” Balancing and memorandum accounts are recognized when it is probable that future recovery of previously incurred costs or future refunds that are to be credited to customers will occur through the ratemaking process. See further discussion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“Regulatory Matters.”</w:t>
      </w:r>
    </w:p>
    <w:p>
      <w:pPr>
        <w:spacing w:after="0" w:line="1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H2O America also recognizes revenue from rental income, which represents lease rental income. Tenants pay monthly in accordance with lease agreements and H2O America recognizes the income ratably over the lease term as this is the most representative of the pattern in which the benefit is expected to be derived from H2O Americas underlying asset.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 of H2O America’s revenue components are as follows for the years ended December 31: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805,594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736,326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678,168</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balancing and memorandum accounts and regulatory mechanisms,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800,590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748,439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Revenue also includes a surcharge collected from regulated customers that is paid to the CPUC. This surcharge is recorded both in operating revenue and administrative and general expenses. For the years ended December 31, 2025, 2024 and 2023, the surcharge was $3,927, $3,668 and $4,085, respectively.</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H2O America calculates the fair value of service-based and performance-based restricted stock awards based on the grant date fair value of the company’s stock price reduced by the present value of the dividends expected to be declared on outstanding shares.</w:t>
      </w:r>
    </w:p>
    <w:p>
      <w:pPr>
        <w:spacing w:after="0" w:line="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H2O America utilizes the Monte Carlo valuation model, which requires the use of subjective assumptions, to compute the fair value of market-vesting restricted stock units.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compensation cost for service-based restricted stock awards is charged to income on a straight-line basis over the requisite service period, which is the vesting period. For performance-based stock awards, compensation expense is charged to income on a straight-line basis over the requisite service period based on expected attainment of performance targets. Changes in the estimates of the expected attainment of performance targets will result in a change in the number of shares that are expected to vest which may cause a cumulative catch up for the amount of share-based compensation expense during each reporting period in which such estimates are altered. Forfeitures are accounted for as they occur.</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H2O America’s long-term incentive plans, shares potentially issuable under the performance stock plans assumed through the business combination with CTWS, and shares potentially issuable under H2O America’s employee stock purchase plans. Restricted common stock units of 40,452, 8,075 and 14,193 as of December 31, 2025, 2024 and 2023, respectively, were excluded from the diluted earnings per share calculation as their effect would have been antidilutive.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Related-Party Transaction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Force for Good Foundation, established in 2024, is a non-consolidated not-for-profit corporation funded by H2O America that has made and continues to make contributions to selected charitable organizations. H2O America made contributions of $4,400 and $3,000 in 2025 and 2024 respectively, which are included as an expense in the “Other, net” line of the Consolidated Statements of Comprehensive Income.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80" w:type="dxa"/>
            <w:vAlign w:val="bottom"/>
            <w:vMerge w:val="restart"/>
          </w:tcPr>
          <w:p>
            <w:pPr>
              <w:spacing w:after="0"/>
              <w:rPr>
                <w:sz w:val="18"/>
                <w:szCs w:val="18"/>
                <w:color w:val="auto"/>
              </w:rPr>
            </w:pPr>
          </w:p>
        </w:tc>
        <w:tc>
          <w:tcPr>
            <w:tcW w:w="324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8"/>
                <w:szCs w:val="18"/>
                <w:color w:val="auto"/>
              </w:rPr>
            </w:pPr>
          </w:p>
        </w:tc>
        <w:tc>
          <w:tcPr>
            <w:tcW w:w="21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00" w:type="dxa"/>
            <w:vAlign w:val="bottom"/>
            <w:vMerge w:val="restart"/>
          </w:tcPr>
          <w:p>
            <w:pPr>
              <w:spacing w:after="0"/>
              <w:rPr>
                <w:sz w:val="18"/>
                <w:szCs w:val="18"/>
                <w:color w:val="auto"/>
              </w:rPr>
            </w:pP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80" w:type="dxa"/>
            <w:vAlign w:val="bottom"/>
            <w:vMerge w:val="restart"/>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Effect on the Consolidated</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3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27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2023-09</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amends certain income tax</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was adopted with</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Prospective, with</w:t>
            </w:r>
          </w:p>
        </w:tc>
        <w:tc>
          <w:tcPr>
            <w:tcW w:w="80" w:type="dxa"/>
            <w:vAlign w:val="bottom"/>
            <w:shd w:val="clear" w:color="auto" w:fill="CCEEFF"/>
          </w:tcPr>
          <w:p>
            <w:pPr>
              <w:spacing w:after="0"/>
              <w:rPr>
                <w:sz w:val="24"/>
                <w:szCs w:val="24"/>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standard only resulted in</w:t>
            </w:r>
          </w:p>
        </w:tc>
        <w:tc>
          <w:tcPr>
            <w:tcW w:w="0" w:type="dxa"/>
            <w:vAlign w:val="bottom"/>
          </w:tcPr>
          <w:p>
            <w:pPr>
              <w:spacing w:after="0"/>
              <w:rPr>
                <w:sz w:val="1"/>
                <w:szCs w:val="1"/>
                <w:color w:val="auto"/>
              </w:rPr>
            </w:pPr>
          </w:p>
        </w:tc>
      </w:tr>
      <w:tr>
        <w:trPr>
          <w:trHeight w:val="68"/>
        </w:trPr>
        <w:tc>
          <w:tcPr>
            <w:tcW w:w="200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“Improvements to</w:t>
            </w:r>
          </w:p>
        </w:tc>
        <w:tc>
          <w:tcPr>
            <w:tcW w:w="334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 requirements, including adding</w:t>
            </w:r>
          </w:p>
        </w:tc>
        <w:tc>
          <w:tcPr>
            <w:tcW w:w="226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annual financial</w:t>
            </w:r>
          </w:p>
        </w:tc>
        <w:tc>
          <w:tcPr>
            <w:tcW w:w="142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retrospective</w:t>
            </w:r>
          </w:p>
        </w:tc>
        <w:tc>
          <w:tcPr>
            <w:tcW w:w="222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updates to disclosure and did</w:t>
            </w:r>
          </w:p>
        </w:tc>
        <w:tc>
          <w:tcPr>
            <w:tcW w:w="0" w:type="dxa"/>
            <w:vAlign w:val="bottom"/>
          </w:tcPr>
          <w:p>
            <w:pPr>
              <w:spacing w:after="0"/>
              <w:rPr>
                <w:sz w:val="1"/>
                <w:szCs w:val="1"/>
                <w:color w:val="auto"/>
              </w:rPr>
            </w:pPr>
          </w:p>
        </w:tc>
      </w:tr>
      <w:tr>
        <w:trPr>
          <w:trHeight w:val="108"/>
        </w:trPr>
        <w:tc>
          <w:tcPr>
            <w:tcW w:w="2000" w:type="dxa"/>
            <w:vAlign w:val="bottom"/>
            <w:gridSpan w:val="2"/>
            <w:vMerge w:val="continue"/>
            <w:shd w:val="clear" w:color="auto" w:fill="CCEEFF"/>
          </w:tcPr>
          <w:p>
            <w:pPr>
              <w:spacing w:after="0"/>
              <w:rPr>
                <w:sz w:val="9"/>
                <w:szCs w:val="9"/>
                <w:color w:val="auto"/>
              </w:rPr>
            </w:pPr>
          </w:p>
        </w:tc>
        <w:tc>
          <w:tcPr>
            <w:tcW w:w="334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142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application also</w:t>
            </w:r>
          </w:p>
        </w:tc>
        <w:tc>
          <w:tcPr>
            <w:tcW w:w="22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Disclosures”</w:t>
            </w:r>
          </w:p>
        </w:tc>
        <w:tc>
          <w:tcPr>
            <w:tcW w:w="3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requirements to present the reconciliation of</w:t>
            </w:r>
          </w:p>
        </w:tc>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for the year ended</w:t>
            </w:r>
          </w:p>
        </w:tc>
        <w:tc>
          <w:tcPr>
            <w:tcW w:w="1420" w:type="dxa"/>
            <w:vAlign w:val="bottom"/>
            <w:gridSpan w:val="2"/>
            <w:vMerge w:val="continue"/>
            <w:shd w:val="clear" w:color="auto" w:fill="CCEEFF"/>
          </w:tcPr>
          <w:p>
            <w:pPr>
              <w:spacing w:after="0"/>
              <w:rPr>
                <w:sz w:val="6"/>
                <w:szCs w:val="6"/>
                <w:color w:val="auto"/>
              </w:rPr>
            </w:pPr>
          </w:p>
        </w:tc>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have a material impact on</w:t>
            </w:r>
          </w:p>
        </w:tc>
        <w:tc>
          <w:tcPr>
            <w:tcW w:w="0" w:type="dxa"/>
            <w:vAlign w:val="bottom"/>
          </w:tcPr>
          <w:p>
            <w:pPr>
              <w:spacing w:after="0"/>
              <w:rPr>
                <w:sz w:val="1"/>
                <w:szCs w:val="1"/>
                <w:color w:val="auto"/>
              </w:rPr>
            </w:pPr>
          </w:p>
        </w:tc>
      </w:tr>
      <w:tr>
        <w:trPr>
          <w:trHeight w:val="180"/>
        </w:trPr>
        <w:tc>
          <w:tcPr>
            <w:tcW w:w="2000" w:type="dxa"/>
            <w:vAlign w:val="bottom"/>
            <w:gridSpan w:val="2"/>
            <w:vMerge w:val="continue"/>
            <w:shd w:val="clear" w:color="auto" w:fill="CCEEFF"/>
          </w:tcPr>
          <w:p>
            <w:pPr>
              <w:spacing w:after="0"/>
              <w:rPr>
                <w:sz w:val="15"/>
                <w:szCs w:val="15"/>
                <w:color w:val="auto"/>
              </w:rPr>
            </w:pPr>
          </w:p>
        </w:tc>
        <w:tc>
          <w:tcPr>
            <w:tcW w:w="3340" w:type="dxa"/>
            <w:vAlign w:val="bottom"/>
            <w:gridSpan w:val="2"/>
            <w:vMerge w:val="continue"/>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permitted.</w:t>
            </w:r>
          </w:p>
        </w:tc>
        <w:tc>
          <w:tcPr>
            <w:tcW w:w="2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income tax expense computed at the</w:t>
            </w:r>
          </w:p>
        </w:tc>
        <w:tc>
          <w:tcPr>
            <w:tcW w:w="22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December 31, 2025.</w:t>
            </w: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2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the Company’s financial</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statutory rate to actual income tax expense</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position and results of</w:t>
            </w: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using both percentages and amounts and</w:t>
            </w: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providing a disaggregation of income taxes</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paid. Further, certain disclosures are</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eliminated, including the current</w:t>
            </w: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requirement to disclose information on</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unrecognized tax benefits in the</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 12 months.</w:t>
            </w: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72"/>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32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2024-03</w:t>
            </w:r>
          </w:p>
        </w:tc>
        <w:tc>
          <w:tcPr>
            <w:tcW w:w="100" w:type="dxa"/>
            <w:vAlign w:val="bottom"/>
          </w:tcPr>
          <w:p>
            <w:pPr>
              <w:spacing w:after="0"/>
              <w:rPr>
                <w:sz w:val="14"/>
                <w:szCs w:val="14"/>
                <w:color w:val="auto"/>
              </w:rPr>
            </w:pPr>
          </w:p>
        </w:tc>
        <w:tc>
          <w:tcPr>
            <w:tcW w:w="32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ASU requires disclosure, in the notes to</w:t>
            </w:r>
          </w:p>
        </w:tc>
      </w:tr>
      <w:tr>
        <w:trPr>
          <w:trHeight w:val="184"/>
        </w:trPr>
        <w:tc>
          <w:tcPr>
            <w:tcW w:w="20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“Disaggregation of</w:t>
            </w:r>
          </w:p>
        </w:tc>
        <w:tc>
          <w:tcPr>
            <w:tcW w:w="3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financial statements, of specified</w:t>
            </w:r>
          </w:p>
        </w:tc>
      </w:tr>
      <w:tr>
        <w:trPr>
          <w:trHeight w:val="180"/>
        </w:trPr>
        <w:tc>
          <w:tcPr>
            <w:tcW w:w="20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Statement</w:t>
            </w:r>
          </w:p>
        </w:tc>
        <w:tc>
          <w:tcPr>
            <w:tcW w:w="3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information about certain costs and</w:t>
            </w:r>
          </w:p>
        </w:tc>
      </w:tr>
      <w:tr>
        <w:trPr>
          <w:trHeight w:val="176"/>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w:t>
            </w:r>
          </w:p>
        </w:tc>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 The ASU requires disclosure of</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purchases of inventory, employee</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compensation, depreciation, and intangible</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amortization in interim and annual</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reporting periods. Further, other amounts</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already required to be disclosed in</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accordance with current U.S. GAAP would</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be included in the same disclosure as the</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disaggregation requirements.</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Additionally, the ASU requires qualitative</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descriptions of amounts remaining in</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relevant expense captions that are not</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separately disaggregated quantitatively as</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well as disclosure of selling expenses in</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periods and an entity’s definition of</w:t>
            </w:r>
          </w:p>
        </w:tc>
      </w:tr>
      <w:tr>
        <w:trPr>
          <w:trHeight w:val="228"/>
        </w:trPr>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169"/>
        </w:trPr>
        <w:tc>
          <w:tcPr>
            <w:tcW w:w="21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ASU is effective for</w:t>
            </w:r>
          </w:p>
        </w:tc>
        <w:tc>
          <w:tcPr>
            <w:tcW w:w="100" w:type="dxa"/>
            <w:vAlign w:val="bottom"/>
          </w:tcPr>
          <w:p>
            <w:pPr>
              <w:spacing w:after="0"/>
              <w:rPr>
                <w:sz w:val="14"/>
                <w:szCs w:val="14"/>
                <w:color w:val="auto"/>
              </w:rPr>
            </w:pPr>
          </w:p>
        </w:tc>
        <w:tc>
          <w:tcPr>
            <w:tcW w:w="13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Prospective, with</w:t>
            </w:r>
          </w:p>
        </w:tc>
      </w:tr>
      <w:tr>
        <w:trPr>
          <w:trHeight w:val="184"/>
        </w:trPr>
        <w:tc>
          <w:tcPr>
            <w:tcW w:w="2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H2O America for its annual</w:t>
            </w:r>
          </w:p>
        </w:tc>
        <w:tc>
          <w:tcPr>
            <w:tcW w:w="1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retrospective</w:t>
            </w:r>
          </w:p>
        </w:tc>
      </w:tr>
      <w:tr>
        <w:trPr>
          <w:trHeight w:val="180"/>
        </w:trPr>
        <w:tc>
          <w:tcPr>
            <w:tcW w:w="2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statements for the</w:t>
            </w:r>
          </w:p>
        </w:tc>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also</w:t>
            </w:r>
          </w:p>
        </w:tc>
      </w:tr>
      <w:tr>
        <w:trPr>
          <w:trHeight w:val="176"/>
        </w:trPr>
        <w:tc>
          <w:tcPr>
            <w:tcW w:w="2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ending December 31,</w:t>
            </w:r>
          </w:p>
        </w:tc>
        <w:tc>
          <w:tcPr>
            <w:tcW w:w="1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permitted.</w:t>
            </w:r>
          </w:p>
        </w:tc>
      </w:tr>
      <w:tr>
        <w:trPr>
          <w:trHeight w:val="204"/>
        </w:trPr>
        <w:tc>
          <w:tcPr>
            <w:tcW w:w="22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2027 and for interim</w:t>
            </w:r>
          </w:p>
        </w:tc>
        <w:tc>
          <w:tcPr>
            <w:tcW w:w="1340" w:type="dxa"/>
            <w:vAlign w:val="bottom"/>
          </w:tcPr>
          <w:p>
            <w:pPr>
              <w:spacing w:after="0"/>
              <w:rPr>
                <w:sz w:val="17"/>
                <w:szCs w:val="17"/>
                <w:color w:val="auto"/>
              </w:rPr>
            </w:pPr>
          </w:p>
        </w:tc>
      </w:tr>
    </w:tbl>
    <w:p>
      <w:pPr>
        <w:ind w:left="20" w:right="1480"/>
        <w:spacing w:after="0" w:line="231" w:lineRule="auto"/>
        <w:rPr>
          <w:sz w:val="20"/>
          <w:szCs w:val="20"/>
          <w:color w:val="auto"/>
        </w:rPr>
      </w:pPr>
      <w:r>
        <w:rPr>
          <w:rFonts w:ascii="Times New Roman" w:cs="Times New Roman" w:eastAsia="Times New Roman" w:hAnsi="Times New Roman"/>
          <w:sz w:val="17"/>
          <w:szCs w:val="17"/>
          <w:color w:val="auto"/>
        </w:rPr>
        <w:t>reporting periods for the year ending December 31, 2028. Early adoption is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9" w:right="40"/>
        <w:spacing w:after="0" w:line="239" w:lineRule="auto"/>
        <w:rPr>
          <w:sz w:val="20"/>
          <w:szCs w:val="20"/>
          <w:color w:val="auto"/>
        </w:rPr>
      </w:pPr>
      <w:r>
        <w:rPr>
          <w:rFonts w:ascii="Times New Roman" w:cs="Times New Roman" w:eastAsia="Times New Roman" w:hAnsi="Times New Roman"/>
          <w:sz w:val="18"/>
          <w:szCs w:val="18"/>
          <w:b w:val="1"/>
          <w:bCs w:val="1"/>
          <w:color w:val="auto"/>
        </w:rPr>
        <w:t>Effect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1405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12"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color w:val="auto"/>
        </w:rPr>
        <w:t>The standard is expected to only result in updates to</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disclosure and is not expected to have a material impact on the Company’s financial</w:t>
      </w:r>
    </w:p>
    <w:p>
      <w:pPr>
        <w:spacing w:after="0" w:line="2"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18"/>
          <w:szCs w:val="18"/>
          <w:color w:val="auto"/>
        </w:rPr>
        <w:t>position and results of operations.</w:t>
      </w:r>
    </w:p>
    <w:p>
      <w:pPr>
        <w:spacing w:after="0" w:line="2051" w:lineRule="exact"/>
        <w:rPr>
          <w:sz w:val="20"/>
          <w:szCs w:val="20"/>
          <w:color w:val="auto"/>
        </w:rPr>
      </w:pPr>
    </w:p>
    <w:p>
      <w:pPr>
        <w:sectPr>
          <w:pgSz w:w="11900" w:h="16838" w:orient="portrait"/>
          <w:cols w:equalWidth="0" w:num="3">
            <w:col w:w="5240" w:space="100"/>
            <w:col w:w="3600" w:space="100"/>
            <w:col w:w="2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19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ASU 2025-06</w:t>
            </w:r>
          </w:p>
        </w:tc>
        <w:tc>
          <w:tcPr>
            <w:tcW w:w="338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The ASU updates the accounting for</w:t>
            </w:r>
          </w:p>
        </w:tc>
        <w:tc>
          <w:tcPr>
            <w:tcW w:w="226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The ASU is effective for</w:t>
            </w:r>
          </w:p>
        </w:tc>
        <w:tc>
          <w:tcPr>
            <w:tcW w:w="136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Prospective,</w:t>
            </w:r>
          </w:p>
        </w:tc>
        <w:tc>
          <w:tcPr>
            <w:tcW w:w="234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H2O America is currently</w:t>
            </w:r>
          </w:p>
        </w:tc>
      </w:tr>
      <w:tr>
        <w:trPr>
          <w:trHeight w:val="184"/>
        </w:trPr>
        <w:tc>
          <w:tcPr>
            <w:tcW w:w="1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“Intangibles-Goodwill</w:t>
            </w:r>
          </w:p>
        </w:tc>
        <w:tc>
          <w:tcPr>
            <w:tcW w:w="33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internal-use software by removing project</w:t>
            </w:r>
          </w:p>
        </w:tc>
        <w:tc>
          <w:tcPr>
            <w:tcW w:w="22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H2O America for its annual</w:t>
            </w:r>
          </w:p>
        </w:tc>
        <w:tc>
          <w:tcPr>
            <w:tcW w:w="13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retrospective or</w:t>
            </w:r>
          </w:p>
        </w:tc>
        <w:tc>
          <w:tcPr>
            <w:tcW w:w="23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evaluating the impact of ASU</w:t>
            </w:r>
          </w:p>
        </w:tc>
      </w:tr>
      <w:tr>
        <w:trPr>
          <w:trHeight w:val="180"/>
        </w:trPr>
        <w:tc>
          <w:tcPr>
            <w:tcW w:w="1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Other-Internal-Use</w:t>
            </w:r>
          </w:p>
        </w:tc>
        <w:tc>
          <w:tcPr>
            <w:tcW w:w="33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stage references and introduces a new</w:t>
            </w:r>
          </w:p>
        </w:tc>
        <w:tc>
          <w:tcPr>
            <w:tcW w:w="22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financial statements for the</w:t>
            </w:r>
          </w:p>
        </w:tc>
        <w:tc>
          <w:tcPr>
            <w:tcW w:w="13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on a modified</w:t>
            </w:r>
          </w:p>
        </w:tc>
        <w:tc>
          <w:tcPr>
            <w:tcW w:w="23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2025-06 on its financial</w:t>
            </w:r>
          </w:p>
        </w:tc>
      </w:tr>
      <w:tr>
        <w:trPr>
          <w:trHeight w:val="175"/>
        </w:trPr>
        <w:tc>
          <w:tcPr>
            <w:tcW w:w="1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Software (subtopic 350-</w:t>
            </w:r>
          </w:p>
        </w:tc>
        <w:tc>
          <w:tcPr>
            <w:tcW w:w="3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capitalization threshold based on</w:t>
            </w:r>
          </w:p>
        </w:tc>
        <w:tc>
          <w:tcPr>
            <w:tcW w:w="22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year ending December 31,</w:t>
            </w:r>
          </w:p>
        </w:tc>
        <w:tc>
          <w:tcPr>
            <w:tcW w:w="13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transition</w:t>
            </w:r>
          </w:p>
        </w:tc>
        <w:tc>
          <w:tcPr>
            <w:tcW w:w="2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statements and will adopt</w:t>
            </w:r>
          </w:p>
        </w:tc>
      </w:tr>
      <w:tr>
        <w:trPr>
          <w:trHeight w:val="184"/>
        </w:trPr>
        <w:tc>
          <w:tcPr>
            <w:tcW w:w="1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40)”</w:t>
            </w:r>
          </w:p>
        </w:tc>
        <w:tc>
          <w:tcPr>
            <w:tcW w:w="33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management authorization and project</w:t>
            </w:r>
          </w:p>
        </w:tc>
        <w:tc>
          <w:tcPr>
            <w:tcW w:w="22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2028 and for interim</w:t>
            </w:r>
          </w:p>
        </w:tc>
        <w:tc>
          <w:tcPr>
            <w:tcW w:w="13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approach with</w:t>
            </w:r>
          </w:p>
        </w:tc>
        <w:tc>
          <w:tcPr>
            <w:tcW w:w="23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ASU 2025-06 in fiscal year</w:t>
            </w:r>
          </w:p>
        </w:tc>
      </w:tr>
      <w:tr>
        <w:trPr>
          <w:trHeight w:val="180"/>
        </w:trPr>
        <w:tc>
          <w:tcPr>
            <w:tcW w:w="1900" w:type="dxa"/>
            <w:vAlign w:val="bottom"/>
            <w:shd w:val="clear" w:color="auto" w:fill="CCEEFF"/>
          </w:tcPr>
          <w:p>
            <w:pPr>
              <w:spacing w:after="0"/>
              <w:rPr>
                <w:sz w:val="15"/>
                <w:szCs w:val="15"/>
                <w:color w:val="auto"/>
              </w:rPr>
            </w:pPr>
          </w:p>
        </w:tc>
        <w:tc>
          <w:tcPr>
            <w:tcW w:w="33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completion probability. The guidance</w:t>
            </w:r>
          </w:p>
        </w:tc>
        <w:tc>
          <w:tcPr>
            <w:tcW w:w="22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reporting periods for the year</w:t>
            </w:r>
          </w:p>
        </w:tc>
        <w:tc>
          <w:tcPr>
            <w:tcW w:w="13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early adoption</w:t>
            </w:r>
          </w:p>
        </w:tc>
        <w:tc>
          <w:tcPr>
            <w:tcW w:w="23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ended December 31, 2028.</w:t>
            </w:r>
          </w:p>
        </w:tc>
      </w:tr>
      <w:tr>
        <w:trPr>
          <w:trHeight w:val="176"/>
        </w:trPr>
        <w:tc>
          <w:tcPr>
            <w:tcW w:w="1900" w:type="dxa"/>
            <w:vAlign w:val="bottom"/>
            <w:shd w:val="clear" w:color="auto" w:fill="CCEEFF"/>
          </w:tcPr>
          <w:p>
            <w:pPr>
              <w:spacing w:after="0"/>
              <w:rPr>
                <w:sz w:val="15"/>
                <w:szCs w:val="15"/>
                <w:color w:val="auto"/>
              </w:rPr>
            </w:pPr>
          </w:p>
        </w:tc>
        <w:tc>
          <w:tcPr>
            <w:tcW w:w="3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requires evaluation of significant</w:t>
            </w:r>
          </w:p>
        </w:tc>
        <w:tc>
          <w:tcPr>
            <w:tcW w:w="22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ending December 31, 2028.</w:t>
            </w:r>
          </w:p>
        </w:tc>
        <w:tc>
          <w:tcPr>
            <w:tcW w:w="13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permitted.</w:t>
            </w:r>
          </w:p>
        </w:tc>
        <w:tc>
          <w:tcPr>
            <w:tcW w:w="2340" w:type="dxa"/>
            <w:vAlign w:val="bottom"/>
            <w:shd w:val="clear" w:color="auto" w:fill="CCEEFF"/>
          </w:tcPr>
          <w:p>
            <w:pPr>
              <w:spacing w:after="0"/>
              <w:rPr>
                <w:sz w:val="15"/>
                <w:szCs w:val="15"/>
                <w:color w:val="auto"/>
              </w:rPr>
            </w:pPr>
          </w:p>
        </w:tc>
      </w:tr>
      <w:tr>
        <w:trPr>
          <w:trHeight w:val="184"/>
        </w:trPr>
        <w:tc>
          <w:tcPr>
            <w:tcW w:w="1900" w:type="dxa"/>
            <w:vAlign w:val="bottom"/>
            <w:shd w:val="clear" w:color="auto" w:fill="CCEEFF"/>
          </w:tcPr>
          <w:p>
            <w:pPr>
              <w:spacing w:after="0"/>
              <w:rPr>
                <w:sz w:val="16"/>
                <w:szCs w:val="16"/>
                <w:color w:val="auto"/>
              </w:rPr>
            </w:pPr>
          </w:p>
        </w:tc>
        <w:tc>
          <w:tcPr>
            <w:tcW w:w="33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development uncertainty, including novel</w:t>
            </w:r>
          </w:p>
        </w:tc>
        <w:tc>
          <w:tcPr>
            <w:tcW w:w="2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0"/>
        </w:trPr>
        <w:tc>
          <w:tcPr>
            <w:tcW w:w="1900" w:type="dxa"/>
            <w:vAlign w:val="bottom"/>
            <w:shd w:val="clear" w:color="auto" w:fill="CCEEFF"/>
          </w:tcPr>
          <w:p>
            <w:pPr>
              <w:spacing w:after="0"/>
              <w:rPr>
                <w:sz w:val="15"/>
                <w:szCs w:val="15"/>
                <w:color w:val="auto"/>
              </w:rPr>
            </w:pPr>
          </w:p>
        </w:tc>
        <w:tc>
          <w:tcPr>
            <w:tcW w:w="33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functionality and unresolved performance</w:t>
            </w:r>
          </w:p>
        </w:tc>
        <w:tc>
          <w:tcPr>
            <w:tcW w:w="2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75"/>
        </w:trPr>
        <w:tc>
          <w:tcPr>
            <w:tcW w:w="1900" w:type="dxa"/>
            <w:vAlign w:val="bottom"/>
            <w:shd w:val="clear" w:color="auto" w:fill="CCEEFF"/>
          </w:tcPr>
          <w:p>
            <w:pPr>
              <w:spacing w:after="0"/>
              <w:rPr>
                <w:sz w:val="15"/>
                <w:szCs w:val="15"/>
                <w:color w:val="auto"/>
              </w:rPr>
            </w:pPr>
          </w:p>
        </w:tc>
        <w:tc>
          <w:tcPr>
            <w:tcW w:w="3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requirements. ASU 2025-06 clarifies that</w:t>
            </w:r>
          </w:p>
        </w:tc>
        <w:tc>
          <w:tcPr>
            <w:tcW w:w="2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84"/>
        </w:trPr>
        <w:tc>
          <w:tcPr>
            <w:tcW w:w="1900" w:type="dxa"/>
            <w:vAlign w:val="bottom"/>
            <w:shd w:val="clear" w:color="auto" w:fill="CCEEFF"/>
          </w:tcPr>
          <w:p>
            <w:pPr>
              <w:spacing w:after="0"/>
              <w:rPr>
                <w:sz w:val="16"/>
                <w:szCs w:val="16"/>
                <w:color w:val="auto"/>
              </w:rPr>
            </w:pPr>
          </w:p>
        </w:tc>
        <w:tc>
          <w:tcPr>
            <w:tcW w:w="33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capitalized internal-use software costs are</w:t>
            </w:r>
          </w:p>
        </w:tc>
        <w:tc>
          <w:tcPr>
            <w:tcW w:w="2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0"/>
        </w:trPr>
        <w:tc>
          <w:tcPr>
            <w:tcW w:w="1900" w:type="dxa"/>
            <w:vAlign w:val="bottom"/>
            <w:shd w:val="clear" w:color="auto" w:fill="CCEEFF"/>
          </w:tcPr>
          <w:p>
            <w:pPr>
              <w:spacing w:after="0"/>
              <w:rPr>
                <w:sz w:val="15"/>
                <w:szCs w:val="15"/>
                <w:color w:val="auto"/>
              </w:rPr>
            </w:pPr>
          </w:p>
        </w:tc>
        <w:tc>
          <w:tcPr>
            <w:tcW w:w="33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subject to the property, plant and equipment</w:t>
            </w:r>
          </w:p>
        </w:tc>
        <w:tc>
          <w:tcPr>
            <w:tcW w:w="2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229"/>
        </w:trPr>
        <w:tc>
          <w:tcPr>
            <w:tcW w:w="1900" w:type="dxa"/>
            <w:vAlign w:val="bottom"/>
            <w:shd w:val="clear" w:color="auto" w:fill="CCEEFF"/>
          </w:tcPr>
          <w:p>
            <w:pPr>
              <w:spacing w:after="0"/>
              <w:rPr>
                <w:sz w:val="19"/>
                <w:szCs w:val="19"/>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disclosure requirements under ASC 360-10.</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986"/>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32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2025-10</w:t>
            </w:r>
          </w:p>
        </w:tc>
        <w:tc>
          <w:tcPr>
            <w:tcW w:w="80" w:type="dxa"/>
            <w:vAlign w:val="bottom"/>
          </w:tcPr>
          <w:p>
            <w:pPr>
              <w:spacing w:after="0"/>
              <w:rPr>
                <w:sz w:val="14"/>
                <w:szCs w:val="14"/>
                <w:color w:val="auto"/>
              </w:rPr>
            </w:pPr>
          </w:p>
        </w:tc>
        <w:tc>
          <w:tcPr>
            <w:tcW w:w="32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ASU establishes accounting for</w:t>
            </w: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“Government Grants</w:t>
            </w:r>
          </w:p>
        </w:tc>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government grants received by business</w:t>
            </w: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(Topic 832)”</w:t>
            </w: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entities and includes guidance for (1) a</w:t>
            </w: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grant related to an asset and (2) a grant</w:t>
            </w: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related to income. The ASU requires that a</w:t>
            </w: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government grant should not be recognized</w:t>
            </w: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until it is probable that a business entity will</w:t>
            </w: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comply with the conditions attached to the</w:t>
            </w: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grant and the grant will be received.</w:t>
            </w: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Additionally, the ASU requires that a grant</w:t>
            </w: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related to an asset be recognized on the</w:t>
            </w: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balance sheet as the business entity incurs</w:t>
            </w: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related costs for which the grant is</w:t>
            </w: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intended to compensate either as deferred</w:t>
            </w: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or an adjustment to the cost basis of</w:t>
            </w: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related asset. A grant related to income</w:t>
            </w: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or a grant recognized as deferred income</w:t>
            </w: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should be recognized in earnings on a</w:t>
            </w: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systematic and rational basis over the</w:t>
            </w: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periods in which the related costs are</w:t>
            </w: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incurred that the grant is intended to</w:t>
            </w:r>
          </w:p>
        </w:tc>
      </w:tr>
      <w:tr>
        <w:trPr>
          <w:trHeight w:val="228"/>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Effect on the Consolidated</w:t>
            </w:r>
          </w:p>
        </w:tc>
        <w:tc>
          <w:tcPr>
            <w:tcW w:w="0" w:type="dxa"/>
            <w:vAlign w:val="bottom"/>
          </w:tcPr>
          <w:p>
            <w:pPr>
              <w:spacing w:after="0"/>
              <w:rPr>
                <w:sz w:val="1"/>
                <w:szCs w:val="1"/>
                <w:color w:val="auto"/>
              </w:rPr>
            </w:pPr>
          </w:p>
        </w:tc>
      </w:tr>
      <w:tr>
        <w:trPr>
          <w:trHeight w:val="243"/>
        </w:trPr>
        <w:tc>
          <w:tcPr>
            <w:tcW w:w="226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2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169"/>
        </w:trPr>
        <w:tc>
          <w:tcPr>
            <w:tcW w:w="21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ASU is effective for</w:t>
            </w:r>
          </w:p>
        </w:tc>
        <w:tc>
          <w:tcPr>
            <w:tcW w:w="100" w:type="dxa"/>
            <w:vAlign w:val="bottom"/>
          </w:tcPr>
          <w:p>
            <w:pPr>
              <w:spacing w:after="0"/>
              <w:rPr>
                <w:sz w:val="14"/>
                <w:szCs w:val="14"/>
                <w:color w:val="auto"/>
              </w:rPr>
            </w:pPr>
          </w:p>
        </w:tc>
        <w:tc>
          <w:tcPr>
            <w:tcW w:w="13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Retrospective</w:t>
            </w:r>
          </w:p>
        </w:tc>
        <w:tc>
          <w:tcPr>
            <w:tcW w:w="80" w:type="dxa"/>
            <w:vAlign w:val="bottom"/>
          </w:tcPr>
          <w:p>
            <w:pPr>
              <w:spacing w:after="0"/>
              <w:rPr>
                <w:sz w:val="14"/>
                <w:szCs w:val="14"/>
                <w:color w:val="auto"/>
              </w:rPr>
            </w:pPr>
          </w:p>
        </w:tc>
        <w:tc>
          <w:tcPr>
            <w:tcW w:w="22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H2O America is currently</w:t>
            </w:r>
          </w:p>
        </w:tc>
        <w:tc>
          <w:tcPr>
            <w:tcW w:w="0" w:type="dxa"/>
            <w:vAlign w:val="bottom"/>
          </w:tcPr>
          <w:p>
            <w:pPr>
              <w:spacing w:after="0"/>
              <w:rPr>
                <w:sz w:val="1"/>
                <w:szCs w:val="1"/>
                <w:color w:val="auto"/>
              </w:rPr>
            </w:pPr>
          </w:p>
        </w:tc>
      </w:tr>
      <w:tr>
        <w:trPr>
          <w:trHeight w:val="184"/>
        </w:trPr>
        <w:tc>
          <w:tcPr>
            <w:tcW w:w="2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H2O America for annual</w:t>
            </w:r>
          </w:p>
        </w:tc>
        <w:tc>
          <w:tcPr>
            <w:tcW w:w="1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adoption with</w:t>
            </w:r>
          </w:p>
        </w:tc>
        <w:tc>
          <w:tcPr>
            <w:tcW w:w="2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evaluating the impact of ASU</w:t>
            </w:r>
          </w:p>
        </w:tc>
        <w:tc>
          <w:tcPr>
            <w:tcW w:w="0" w:type="dxa"/>
            <w:vAlign w:val="bottom"/>
          </w:tcPr>
          <w:p>
            <w:pPr>
              <w:spacing w:after="0"/>
              <w:rPr>
                <w:sz w:val="1"/>
                <w:szCs w:val="1"/>
                <w:color w:val="auto"/>
              </w:rPr>
            </w:pPr>
          </w:p>
        </w:tc>
      </w:tr>
      <w:tr>
        <w:trPr>
          <w:trHeight w:val="180"/>
        </w:trPr>
        <w:tc>
          <w:tcPr>
            <w:tcW w:w="2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reporting periods beginning</w:t>
            </w:r>
          </w:p>
        </w:tc>
        <w:tc>
          <w:tcPr>
            <w:tcW w:w="1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modified</w:t>
            </w:r>
          </w:p>
        </w:tc>
        <w:tc>
          <w:tcPr>
            <w:tcW w:w="2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2025-10 on its financial</w:t>
            </w: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after December 15, 2028 and</w:t>
            </w:r>
          </w:p>
        </w:tc>
        <w:tc>
          <w:tcPr>
            <w:tcW w:w="1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prospective and</w:t>
            </w:r>
          </w:p>
        </w:tc>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and will adopt</w:t>
            </w:r>
          </w:p>
        </w:tc>
        <w:tc>
          <w:tcPr>
            <w:tcW w:w="0" w:type="dxa"/>
            <w:vAlign w:val="bottom"/>
          </w:tcPr>
          <w:p>
            <w:pPr>
              <w:spacing w:after="0"/>
              <w:rPr>
                <w:sz w:val="1"/>
                <w:szCs w:val="1"/>
                <w:color w:val="auto"/>
              </w:rPr>
            </w:pPr>
          </w:p>
        </w:tc>
      </w:tr>
      <w:tr>
        <w:trPr>
          <w:trHeight w:val="184"/>
        </w:trPr>
        <w:tc>
          <w:tcPr>
            <w:tcW w:w="2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interim reporting periods</w:t>
            </w:r>
          </w:p>
        </w:tc>
        <w:tc>
          <w:tcPr>
            <w:tcW w:w="1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modified</w:t>
            </w:r>
          </w:p>
        </w:tc>
        <w:tc>
          <w:tcPr>
            <w:tcW w:w="2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ASU 2025-10 in fiscal year</w:t>
            </w:r>
          </w:p>
        </w:tc>
        <w:tc>
          <w:tcPr>
            <w:tcW w:w="0" w:type="dxa"/>
            <w:vAlign w:val="bottom"/>
          </w:tcPr>
          <w:p>
            <w:pPr>
              <w:spacing w:after="0"/>
              <w:rPr>
                <w:sz w:val="1"/>
                <w:szCs w:val="1"/>
                <w:color w:val="auto"/>
              </w:rPr>
            </w:pPr>
          </w:p>
        </w:tc>
      </w:tr>
      <w:tr>
        <w:trPr>
          <w:trHeight w:val="180"/>
        </w:trPr>
        <w:tc>
          <w:tcPr>
            <w:tcW w:w="2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within those annual reporting</w:t>
            </w:r>
          </w:p>
        </w:tc>
        <w:tc>
          <w:tcPr>
            <w:tcW w:w="1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retrospective</w:t>
            </w:r>
          </w:p>
        </w:tc>
        <w:tc>
          <w:tcPr>
            <w:tcW w:w="2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ended December 31, 2029.</w:t>
            </w: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periods. Early adoption is</w:t>
            </w:r>
          </w:p>
        </w:tc>
        <w:tc>
          <w:tcPr>
            <w:tcW w:w="1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application also</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8" w:lineRule="exact"/>
        <w:rPr>
          <w:sz w:val="20"/>
          <w:szCs w:val="20"/>
          <w:color w:val="auto"/>
        </w:rPr>
      </w:pPr>
    </w:p>
    <w:p>
      <w:pPr>
        <w:sectPr>
          <w:pgSz w:w="11900" w:h="16838" w:orient="portrait"/>
          <w:cols w:equalWidth="0" w:num="2">
            <w:col w:w="5240" w:space="100"/>
            <w:col w:w="5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1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ASU 2025-11 “Interim</w:t>
            </w:r>
          </w:p>
        </w:tc>
        <w:tc>
          <w:tcPr>
            <w:tcW w:w="346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The ASU provides clarity about the current</w:t>
            </w:r>
          </w:p>
        </w:tc>
        <w:tc>
          <w:tcPr>
            <w:tcW w:w="2160" w:type="dxa"/>
            <w:vAlign w:val="bottom"/>
            <w:shd w:val="clear" w:color="auto" w:fill="CCEEFF"/>
          </w:tcPr>
          <w:p>
            <w:pPr>
              <w:ind w:left="60"/>
              <w:spacing w:after="0" w:line="177" w:lineRule="exact"/>
              <w:rPr>
                <w:sz w:val="20"/>
                <w:szCs w:val="20"/>
                <w:color w:val="auto"/>
              </w:rPr>
            </w:pPr>
            <w:r>
              <w:rPr>
                <w:rFonts w:ascii="Times New Roman" w:cs="Times New Roman" w:eastAsia="Times New Roman" w:hAnsi="Times New Roman"/>
                <w:sz w:val="18"/>
                <w:szCs w:val="18"/>
                <w:color w:val="auto"/>
              </w:rPr>
              <w:t>The ASU is effective for</w:t>
            </w:r>
          </w:p>
        </w:tc>
        <w:tc>
          <w:tcPr>
            <w:tcW w:w="150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8"/>
                <w:szCs w:val="18"/>
                <w:color w:val="auto"/>
              </w:rPr>
              <w:t>Prospective, with</w:t>
            </w:r>
          </w:p>
        </w:tc>
        <w:tc>
          <w:tcPr>
            <w:tcW w:w="228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H2O America is currently</w:t>
            </w:r>
          </w:p>
        </w:tc>
      </w:tr>
      <w:tr>
        <w:trPr>
          <w:trHeight w:val="184"/>
        </w:trPr>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Reporting (Topic 270)”</w:t>
            </w:r>
          </w:p>
        </w:tc>
        <w:tc>
          <w:tcPr>
            <w:tcW w:w="3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requirements, rather than evaluate whether</w:t>
            </w:r>
          </w:p>
        </w:tc>
        <w:tc>
          <w:tcPr>
            <w:tcW w:w="216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H2O America for interim</w:t>
            </w:r>
          </w:p>
        </w:tc>
        <w:tc>
          <w:tcPr>
            <w:tcW w:w="150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retrospective</w:t>
            </w:r>
          </w:p>
        </w:tc>
        <w:tc>
          <w:tcPr>
            <w:tcW w:w="22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evaluating the disclosure</w:t>
            </w:r>
          </w:p>
        </w:tc>
      </w:tr>
      <w:tr>
        <w:trPr>
          <w:trHeight w:val="180"/>
        </w:trPr>
        <w:tc>
          <w:tcPr>
            <w:tcW w:w="1840" w:type="dxa"/>
            <w:vAlign w:val="bottom"/>
            <w:shd w:val="clear" w:color="auto" w:fill="CCEEFF"/>
          </w:tcPr>
          <w:p>
            <w:pPr>
              <w:spacing w:after="0"/>
              <w:rPr>
                <w:sz w:val="15"/>
                <w:szCs w:val="15"/>
                <w:color w:val="auto"/>
              </w:rPr>
            </w:pPr>
          </w:p>
        </w:tc>
        <w:tc>
          <w:tcPr>
            <w:tcW w:w="3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to expand or reduce interim disclosure</w:t>
            </w:r>
          </w:p>
        </w:tc>
        <w:tc>
          <w:tcPr>
            <w:tcW w:w="216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reporting periods within</w:t>
            </w:r>
          </w:p>
        </w:tc>
        <w:tc>
          <w:tcPr>
            <w:tcW w:w="150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application also</w:t>
            </w:r>
          </w:p>
        </w:tc>
        <w:tc>
          <w:tcPr>
            <w:tcW w:w="22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impact of ASU 2025-11;</w:t>
            </w:r>
          </w:p>
        </w:tc>
      </w:tr>
      <w:tr>
        <w:trPr>
          <w:trHeight w:val="176"/>
        </w:trPr>
        <w:tc>
          <w:tcPr>
            <w:tcW w:w="1840" w:type="dxa"/>
            <w:vAlign w:val="bottom"/>
            <w:shd w:val="clear" w:color="auto" w:fill="CCEEFF"/>
          </w:tcPr>
          <w:p>
            <w:pPr>
              <w:spacing w:after="0"/>
              <w:rPr>
                <w:sz w:val="15"/>
                <w:szCs w:val="15"/>
                <w:color w:val="auto"/>
              </w:rPr>
            </w:pPr>
          </w:p>
        </w:tc>
        <w:tc>
          <w:tcPr>
            <w:tcW w:w="3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requirements. The ASU includes a</w:t>
            </w:r>
          </w:p>
        </w:tc>
        <w:tc>
          <w:tcPr>
            <w:tcW w:w="216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annual reporting periods</w:t>
            </w:r>
          </w:p>
        </w:tc>
        <w:tc>
          <w:tcPr>
            <w:tcW w:w="15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permitted.</w:t>
            </w:r>
          </w:p>
        </w:tc>
        <w:tc>
          <w:tcPr>
            <w:tcW w:w="22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however, the standard is not</w:t>
            </w:r>
          </w:p>
        </w:tc>
      </w:tr>
      <w:tr>
        <w:trPr>
          <w:trHeight w:val="184"/>
        </w:trPr>
        <w:tc>
          <w:tcPr>
            <w:tcW w:w="1840" w:type="dxa"/>
            <w:vAlign w:val="bottom"/>
            <w:shd w:val="clear" w:color="auto" w:fill="CCEEFF"/>
          </w:tcPr>
          <w:p>
            <w:pPr>
              <w:spacing w:after="0"/>
              <w:rPr>
                <w:sz w:val="16"/>
                <w:szCs w:val="16"/>
                <w:color w:val="auto"/>
              </w:rPr>
            </w:pPr>
          </w:p>
        </w:tc>
        <w:tc>
          <w:tcPr>
            <w:tcW w:w="3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disclosure principle that requires entities to</w:t>
            </w:r>
          </w:p>
        </w:tc>
        <w:tc>
          <w:tcPr>
            <w:tcW w:w="216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beginning after December</w:t>
            </w:r>
          </w:p>
        </w:tc>
        <w:tc>
          <w:tcPr>
            <w:tcW w:w="1500" w:type="dxa"/>
            <w:vAlign w:val="bottom"/>
            <w:shd w:val="clear" w:color="auto" w:fill="CCEEFF"/>
          </w:tcPr>
          <w:p>
            <w:pPr>
              <w:spacing w:after="0"/>
              <w:rPr>
                <w:sz w:val="16"/>
                <w:szCs w:val="16"/>
                <w:color w:val="auto"/>
              </w:rPr>
            </w:pPr>
          </w:p>
        </w:tc>
        <w:tc>
          <w:tcPr>
            <w:tcW w:w="22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expected to impact the</w:t>
            </w:r>
          </w:p>
        </w:tc>
      </w:tr>
      <w:tr>
        <w:trPr>
          <w:trHeight w:val="180"/>
        </w:trPr>
        <w:tc>
          <w:tcPr>
            <w:tcW w:w="1840" w:type="dxa"/>
            <w:vAlign w:val="bottom"/>
            <w:shd w:val="clear" w:color="auto" w:fill="CCEEFF"/>
          </w:tcPr>
          <w:p>
            <w:pPr>
              <w:spacing w:after="0"/>
              <w:rPr>
                <w:sz w:val="15"/>
                <w:szCs w:val="15"/>
                <w:color w:val="auto"/>
              </w:rPr>
            </w:pPr>
          </w:p>
        </w:tc>
        <w:tc>
          <w:tcPr>
            <w:tcW w:w="3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disclose events since the end of the last</w:t>
            </w:r>
          </w:p>
        </w:tc>
        <w:tc>
          <w:tcPr>
            <w:tcW w:w="216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15, 2027. Early adoption is</w:t>
            </w:r>
          </w:p>
        </w:tc>
        <w:tc>
          <w:tcPr>
            <w:tcW w:w="1500" w:type="dxa"/>
            <w:vAlign w:val="bottom"/>
            <w:shd w:val="clear" w:color="auto" w:fill="CCEEFF"/>
          </w:tcPr>
          <w:p>
            <w:pPr>
              <w:spacing w:after="0"/>
              <w:rPr>
                <w:sz w:val="15"/>
                <w:szCs w:val="15"/>
                <w:color w:val="auto"/>
              </w:rPr>
            </w:pPr>
          </w:p>
        </w:tc>
        <w:tc>
          <w:tcPr>
            <w:tcW w:w="22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consolidated financial</w:t>
            </w:r>
          </w:p>
        </w:tc>
      </w:tr>
      <w:tr>
        <w:trPr>
          <w:trHeight w:val="175"/>
        </w:trPr>
        <w:tc>
          <w:tcPr>
            <w:tcW w:w="1840" w:type="dxa"/>
            <w:vAlign w:val="bottom"/>
            <w:shd w:val="clear" w:color="auto" w:fill="CCEEFF"/>
          </w:tcPr>
          <w:p>
            <w:pPr>
              <w:spacing w:after="0"/>
              <w:rPr>
                <w:sz w:val="15"/>
                <w:szCs w:val="15"/>
                <w:color w:val="auto"/>
              </w:rPr>
            </w:pPr>
          </w:p>
        </w:tc>
        <w:tc>
          <w:tcPr>
            <w:tcW w:w="3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annual reporting period that have a material</w:t>
            </w:r>
          </w:p>
        </w:tc>
        <w:tc>
          <w:tcPr>
            <w:tcW w:w="216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permitted.</w:t>
            </w:r>
          </w:p>
        </w:tc>
        <w:tc>
          <w:tcPr>
            <w:tcW w:w="1500" w:type="dxa"/>
            <w:vAlign w:val="bottom"/>
            <w:shd w:val="clear" w:color="auto" w:fill="CCEEFF"/>
          </w:tcPr>
          <w:p>
            <w:pPr>
              <w:spacing w:after="0"/>
              <w:rPr>
                <w:sz w:val="15"/>
                <w:szCs w:val="15"/>
                <w:color w:val="auto"/>
              </w:rPr>
            </w:pPr>
          </w:p>
        </w:tc>
        <w:tc>
          <w:tcPr>
            <w:tcW w:w="22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position, results of operations</w:t>
            </w:r>
          </w:p>
        </w:tc>
      </w:tr>
      <w:tr>
        <w:trPr>
          <w:trHeight w:val="184"/>
        </w:trPr>
        <w:tc>
          <w:tcPr>
            <w:tcW w:w="1840" w:type="dxa"/>
            <w:vAlign w:val="bottom"/>
            <w:shd w:val="clear" w:color="auto" w:fill="CCEEFF"/>
          </w:tcPr>
          <w:p>
            <w:pPr>
              <w:spacing w:after="0"/>
              <w:rPr>
                <w:sz w:val="16"/>
                <w:szCs w:val="16"/>
                <w:color w:val="auto"/>
              </w:rPr>
            </w:pPr>
          </w:p>
        </w:tc>
        <w:tc>
          <w:tcPr>
            <w:tcW w:w="3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impact on the entity. The intent of the</w:t>
            </w:r>
          </w:p>
        </w:tc>
        <w:tc>
          <w:tcPr>
            <w:tcW w:w="2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or cash flows.</w:t>
            </w:r>
          </w:p>
        </w:tc>
      </w:tr>
      <w:tr>
        <w:trPr>
          <w:trHeight w:val="180"/>
        </w:trPr>
        <w:tc>
          <w:tcPr>
            <w:tcW w:w="1840" w:type="dxa"/>
            <w:vAlign w:val="bottom"/>
            <w:shd w:val="clear" w:color="auto" w:fill="CCEEFF"/>
          </w:tcPr>
          <w:p>
            <w:pPr>
              <w:spacing w:after="0"/>
              <w:rPr>
                <w:sz w:val="15"/>
                <w:szCs w:val="15"/>
                <w:color w:val="auto"/>
              </w:rPr>
            </w:pPr>
          </w:p>
        </w:tc>
        <w:tc>
          <w:tcPr>
            <w:tcW w:w="3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disclosure principle, which is modeled after</w:t>
            </w:r>
          </w:p>
        </w:tc>
        <w:tc>
          <w:tcPr>
            <w:tcW w:w="2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5"/>
        </w:trPr>
        <w:tc>
          <w:tcPr>
            <w:tcW w:w="1840" w:type="dxa"/>
            <w:vAlign w:val="bottom"/>
            <w:shd w:val="clear" w:color="auto" w:fill="CCEEFF"/>
          </w:tcPr>
          <w:p>
            <w:pPr>
              <w:spacing w:after="0"/>
              <w:rPr>
                <w:sz w:val="15"/>
                <w:szCs w:val="15"/>
                <w:color w:val="auto"/>
              </w:rPr>
            </w:pPr>
          </w:p>
        </w:tc>
        <w:tc>
          <w:tcPr>
            <w:tcW w:w="3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 previous SEC disclosure requirement, is to</w:t>
            </w:r>
          </w:p>
        </w:tc>
        <w:tc>
          <w:tcPr>
            <w:tcW w:w="2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84"/>
        </w:trPr>
        <w:tc>
          <w:tcPr>
            <w:tcW w:w="1840" w:type="dxa"/>
            <w:vAlign w:val="bottom"/>
            <w:shd w:val="clear" w:color="auto" w:fill="CCEEFF"/>
          </w:tcPr>
          <w:p>
            <w:pPr>
              <w:spacing w:after="0"/>
              <w:rPr>
                <w:sz w:val="16"/>
                <w:szCs w:val="16"/>
                <w:color w:val="auto"/>
              </w:rPr>
            </w:pPr>
          </w:p>
        </w:tc>
        <w:tc>
          <w:tcPr>
            <w:tcW w:w="3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help entities determine whether disclosures</w:t>
            </w:r>
          </w:p>
        </w:tc>
        <w:tc>
          <w:tcPr>
            <w:tcW w:w="2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r>
      <w:tr>
        <w:trPr>
          <w:trHeight w:val="180"/>
        </w:trPr>
        <w:tc>
          <w:tcPr>
            <w:tcW w:w="1840" w:type="dxa"/>
            <w:vAlign w:val="bottom"/>
            <w:shd w:val="clear" w:color="auto" w:fill="CCEEFF"/>
          </w:tcPr>
          <w:p>
            <w:pPr>
              <w:spacing w:after="0"/>
              <w:rPr>
                <w:sz w:val="15"/>
                <w:szCs w:val="15"/>
                <w:color w:val="auto"/>
              </w:rPr>
            </w:pPr>
          </w:p>
        </w:tc>
        <w:tc>
          <w:tcPr>
            <w:tcW w:w="3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not specified in Topic 270 should be</w:t>
            </w:r>
          </w:p>
        </w:tc>
        <w:tc>
          <w:tcPr>
            <w:tcW w:w="2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229"/>
        </w:trPr>
        <w:tc>
          <w:tcPr>
            <w:tcW w:w="1840" w:type="dxa"/>
            <w:vAlign w:val="bottom"/>
            <w:shd w:val="clear" w:color="auto" w:fill="CCEEFF"/>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in interim reporting periods.</w:t>
            </w:r>
          </w:p>
        </w:tc>
        <w:tc>
          <w:tcPr>
            <w:tcW w:w="2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554"/>
        </w:trPr>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51"/>
        </w:trPr>
        <w:tc>
          <w:tcPr>
            <w:tcW w:w="18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Regulation</w:t>
            </w:r>
          </w:p>
        </w:tc>
        <w:tc>
          <w:tcPr>
            <w:tcW w:w="3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Water Utility Services, excluding non-tariffed activities, are subject to rate regulation based on cost recovery and meets the criteria of accounting guidance for rate-regulated operations under ASC Topic 980, which affects the timing of the recognition of certain revenues and expenses. H2O America’s consolidated financial statements reflect the actions of regulators in the rate-making process. The ratemaking process is intended to provide revenues sufficient to recover normal operating expenses, provide funds for replacement of water infrastructure and produce a fair and reasonable return on stockholder common equity.</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Water Utility Services, excluding non-tariffed activities, recognizes regulatory assets for incurred costs that are deemed probable of recovery from customers. Also, Water Utility Services recognizes regulatory liabilities for amounts expected to be refunded to customers in the ratemaking process and for amounts collected in advance of the related expenditures. Regulatory assets or liabilities are also recognized for special revenue programs such as WCMA and WRA in accordance with guidance on alternative revenue programs under ASC Topic 980. Application of ASC Topic 980, including determining whether recovery is probable, requires significant judgment by management and includes assessing evidence that may exist prior to regulatory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authorization, including regulatory rules and decisions, historical ratemaking practices, and other facts and circumstances that would indicate that recovery or refund is probable.</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the regulated utility determines that it is no longer probable that regulatory assets or liabilities would be recovered or refunded through the regulatory process, or if the utility ceased to be subject to rate regulation, the affected regulatory assets and liabilities would be derecognized with a corresponding adjustment to income in the period in which that determination was made.</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the revenue authorized by the CPUC to offset those expense changes. SJWC’s Full Cost Balancing Account (“FCBA”) tracks water supply costs and energy consumption. The Monterey Water Revenue Adjustment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Water Contamination Litigation Memorandum Account (“WCLMA”) allows SJWC to track net proceeds and costs resulting from water contamination litigation. The WCMA allows SJWC to track lost revenue, net of related water costs, associated with reduced sales due to water conservation and associated calls for water use reduction,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Mandatory water conservation requirements from Santa Clara Valley Water District (“Valley Water”) ended on April 11, 2023, which also ended SJWC’s Mandatory Conservation Plan, that included drought allocations and surcharges. On October 2, 2023, the CPUC approved the continuation of WCMA and Water Conservation Expense Memorandum Account under the voluntary call for conservation effective April 20, 2023. All balancing accounts and memorandum accounts not included for recovery or refund in current customer rates will be reviewed by the CPUC in SJWC’s next general rate case or at the time an individual account balance reaches a threshold of 2% of authorized revenue, whichever occurs first. On December 19, 2024, the CPUC issued General Rate Case Decision No. 24-12-077, which approved a recovery of $15,792 in balancing and memorandum accounts from customers through a 12-month surcharge effective January 1, 2025.</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CWC has been authorized by PURA to utilize WRA, a decoupling mechanism, to mitigate risks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assets and liabilities are comprised of the following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temporary differences (a) (q)</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MWRAM (b)</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combinations debt premium (c) (q)</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 (q)</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Catastrophic event memorandum accounts (“CEMA”) (p)</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(e) (q)</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Assistance Program (“CAP”) balancing account (f)</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(g) (q)</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general rate case interim memorandum account (h)</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(j)</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254,862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 (k)</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 less current portion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246,547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removal (l)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394,391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364,398</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Future income tax benefits due to customers (m)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PFAS legal settlement proceeds (r)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(e)</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546,797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484,841</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regulatory liabilities (o)</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 less current portion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483,719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jc w:val="both"/>
        <w:ind w:left="660" w:right="380" w:hanging="652"/>
        <w:spacing w:after="0" w:line="259" w:lineRule="auto"/>
        <w:tabs>
          <w:tab w:leader="none" w:pos="65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w:t>
      </w: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MWRAM is described in the previous section.</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debt fair value adjustments recognized through purchase accounting for the completed merger with CTWS in 2019.</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deferrals of pension and other postretirement benefit expense, cost of accrued benefits for vacation, and group health insurance.</w:t>
      </w:r>
    </w:p>
    <w:p>
      <w:pPr>
        <w:spacing w:after="0" w:line="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WRA and WCMA, which are described in the previous section.</w:t>
      </w:r>
    </w:p>
    <w:p>
      <w:pPr>
        <w:spacing w:after="0" w:line="1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SJWC’s CAP.</w:t>
      </w:r>
    </w:p>
    <w:p>
      <w:pPr>
        <w:spacing w:after="0" w:line="14" w:lineRule="exact"/>
        <w:rPr>
          <w:rFonts w:ascii="Times New Roman" w:cs="Times New Roman" w:eastAsia="Times New Roman" w:hAnsi="Times New Roman"/>
          <w:sz w:val="14"/>
          <w:szCs w:val="14"/>
          <w:color w:val="auto"/>
        </w:rPr>
      </w:pPr>
    </w:p>
    <w:p>
      <w:pPr>
        <w:ind w:left="660" w:right="160" w:hanging="652"/>
        <w:spacing w:after="0" w:line="254"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actuarial losses and gains and prior service cost that have not yet been recognized as components of net periodic benefit cost for certain pension and other postretirement benefit plans.</w:t>
      </w:r>
    </w:p>
    <w:p>
      <w:pPr>
        <w:ind w:left="660" w:right="60" w:hanging="652"/>
        <w:spacing w:after="0" w:line="259"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revenues collected in interim rates in effect as of January 1, 2022 and revenues that would result from rates authorized in SJWC’s 2022 general rate case retroactive to January 1, 2022.</w:t>
      </w:r>
    </w:p>
    <w:p>
      <w:pPr>
        <w:ind w:left="660" w:right="240" w:hanging="652"/>
        <w:spacing w:after="0" w:line="261" w:lineRule="auto"/>
        <w:tabs>
          <w:tab w:leader="none" w:pos="64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primarily SJWC’s FCBA which tracks differences in actual water supply costs compared to amounts assumed in base rates, including applicable changes and variations in costs and quantities that affect the overall mix of the water supply.</w:t>
      </w:r>
    </w:p>
    <w:p>
      <w:pPr>
        <w:ind w:left="660" w:right="120" w:hanging="652"/>
        <w:spacing w:after="0" w:line="251" w:lineRule="auto"/>
        <w:tabs>
          <w:tab w:leader="none" w:pos="64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and regulatory mechanisms, deferred costs for certain information technology activities, asset retirement obligations, tank painting, well reconditioning and rate case expenses.</w:t>
      </w:r>
    </w:p>
    <w:p>
      <w:pPr>
        <w:ind w:left="660" w:hanging="652"/>
        <w:spacing w:after="0" w:line="261"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SJWC’s balancing and memorandum account surcharge in accordance with Decision No. 24-12-077 and the current portion of CWC’s deferred well redevelopment and rate case costs.</w:t>
      </w: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collected in rates from customers for estimated costs to retire assets at the end of their expected useful lives before the costs are incurred.</w:t>
      </w:r>
    </w:p>
    <w:p>
      <w:pPr>
        <w:spacing w:after="0" w:line="14" w:lineRule="exact"/>
        <w:rPr>
          <w:rFonts w:ascii="Times New Roman" w:cs="Times New Roman" w:eastAsia="Times New Roman" w:hAnsi="Times New Roman"/>
          <w:sz w:val="14"/>
          <w:szCs w:val="14"/>
          <w:color w:val="auto"/>
        </w:rPr>
      </w:pPr>
    </w:p>
    <w:p>
      <w:pPr>
        <w:ind w:left="660" w:hanging="652"/>
        <w:spacing w:after="0" w:line="262"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and regulatory mechanisms, and other regulatory mechanisms.</w:t>
      </w:r>
    </w:p>
    <w:p>
      <w:pPr>
        <w:spacing w:after="0" w:line="2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the current portion of WRA.</w:t>
      </w:r>
    </w:p>
    <w:p>
      <w:pPr>
        <w:spacing w:after="0" w:line="14" w:lineRule="exact"/>
        <w:rPr>
          <w:rFonts w:ascii="Times New Roman" w:cs="Times New Roman" w:eastAsia="Times New Roman" w:hAnsi="Times New Roman"/>
          <w:sz w:val="14"/>
          <w:szCs w:val="14"/>
          <w:color w:val="auto"/>
        </w:rPr>
      </w:pPr>
    </w:p>
    <w:p>
      <w:pPr>
        <w:ind w:left="660" w:right="200" w:hanging="652"/>
        <w:spacing w:after="0" w:line="254"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 The balances primarily relate to expenses associated with SJWC’s response to COVID-19, including bad debt.</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not earning a return either by interest on the regulatory asset or as a component of rate base at the allowed rate of return.</w:t>
      </w:r>
    </w:p>
    <w:p>
      <w:pPr>
        <w:spacing w:after="0" w:line="14" w:lineRule="exact"/>
        <w:rPr>
          <w:rFonts w:ascii="Times New Roman" w:cs="Times New Roman" w:eastAsia="Times New Roman" w:hAnsi="Times New Roman"/>
          <w:sz w:val="14"/>
          <w:szCs w:val="14"/>
          <w:color w:val="auto"/>
        </w:rPr>
      </w:pPr>
    </w:p>
    <w:p>
      <w:pPr>
        <w:ind w:left="660" w:right="180" w:hanging="652"/>
        <w:spacing w:after="0" w:line="262" w:lineRule="auto"/>
        <w:tabs>
          <w:tab w:leader="none" w:pos="65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legal settlements received by SJWC and CWC from ongoing PFAS water contamination litigation against manufacturers which will be used to offset future costs incurred, recorded as Contributions in Aid of Construction (“CIAC”), or returned to customers through future rates. WCLMA has been established to track net proceeds and costs resulting from water contamination litigation related to SJWC.</w:t>
      </w:r>
    </w:p>
    <w:p>
      <w:pPr>
        <w:spacing w:after="0" w:line="200" w:lineRule="exact"/>
        <w:rPr>
          <w:sz w:val="20"/>
          <w:szCs w:val="20"/>
          <w:color w:val="auto"/>
        </w:rPr>
      </w:pPr>
    </w:p>
    <w:p>
      <w:pPr>
        <w:spacing w:after="0" w:line="2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H2O America is authorized to issue 70,000,000 shares of common stock of $0.001 par value per share. At December 31, 2025 and 2024, 36,118,242 and 33,629,169, respectively, shares of common stock were issued and outstanding.</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1,000,000 shares of preferred stock of $0.001 par value per share were authorized for H2O America. At December 31, 2025 and 2024, no shares of preferred stock were issued or outstanding.</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29, 2024, H2O America entered into an equity distribution agreement (the, “New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Since the inception of the New Equity Distribution Agreement, H2O America has issued and sold 2,763,359 shares of common stock at a weighted average price of $52.39 for a total net proceeds of $142,975 and has $55,239 of aggregate gross sales price of shares remaining to issue under the New Equity Distribution Agreement as of December 31, 2025.</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H2O America issued and sold a total of 2,387,846 shares of common stock with a weighted average price of $51.90 per share and received $122,806 in net proceeds under the aforementioned equity distribution agreements.</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Lines of Credit</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H2O America and its subsidiaries have unsecured line of credit agreements where borrowings are used to refinance existing debt, for working capital, and for general corporate purposes. A summary of the line of credit agreements as of December 31, 2025 and 2024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12, 2030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H2O America</w:t>
            </w:r>
          </w:p>
        </w:tc>
        <w:tc>
          <w:tcPr>
            <w:tcW w:w="2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MWC</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SJWTX</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 credit agreement</w:t>
            </w:r>
          </w:p>
        </w:tc>
        <w:tc>
          <w:tcPr>
            <w:tcW w:w="230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11, 2026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August 2, 2028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 (1)</w:t>
            </w:r>
          </w:p>
        </w:tc>
        <w:tc>
          <w:tcPr>
            <w:tcW w:w="2300" w:type="dxa"/>
            <w:vAlign w:val="bottom"/>
            <w:gridSpan w:val="3"/>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May 15, 2025</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3"/>
        </w:trPr>
        <w:tc>
          <w:tcPr>
            <w:tcW w:w="3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86,834</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283,166</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119,124</w:t>
            </w:r>
          </w:p>
        </w:tc>
      </w:tr>
      <w:tr>
        <w:trPr>
          <w:trHeight w:val="21"/>
        </w:trPr>
        <w:tc>
          <w:tcPr>
            <w:tcW w:w="3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CTWS repaid the outstanding balance under this credit agreement and concurrently terminated this credit agreement.</w:t>
      </w:r>
    </w:p>
    <w:p>
      <w:pPr>
        <w:spacing w:after="0" w:line="10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Total outstanding borrowings under the unsecured lines of credits as of December 31, 2025 and 2024 were $86,834 and $119,124, respectively. The weighted-average interest rate on short-term borrowings outstanding at December 31, 2025, was 4.75% compared to 6.08% at December 31, 2024. As of December 31, 2025, the unused portion of the lines of credit available for future borrowings was $283,166.</w:t>
      </w:r>
    </w:p>
    <w:p>
      <w:pPr>
        <w:spacing w:after="0" w:line="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of H2O America’s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The lines of credit also include certain customary financial covenants such as a funded debt to capitalization ratio and a minimum interest coverage ratio. As of December 31, 2025, H2O America and its subsidiaries were in compliance with all covenants on the lines of credit.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Syndicated Credit Agreement</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August 2022, H2O America, SJWC, TWC, and CTWS have entered into a $300,000 credit agreement (the “Credit Agreement”) with JPMorgan Chase Bank, N.A., as Administrative Agent (“JP Morgan”), Wells Fargo Bank, National Association, as Documentation Agent, and a syndicate of banks with a term of five years. The Credit Agreement was subsequently amended to extend the maturity date from August 2027 to August 2028 and further amended to extend the maturity date to August 2029.</w:t>
      </w:r>
    </w:p>
    <w:p>
      <w:pPr>
        <w:spacing w:after="0" w:line="7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On September 12, 2025, H2O America and its subsidiaries, SJWC, SJWTX, CWC and MWC, entered into an Amended and Restated Credit Agreement to extend and increase the revolving credit facility with JPMorgan Chase Bank and Wells Fargo Securities, LLC. Pursuant to the amended agreement, the total commitment under the facility was increased from $300,000 to $350,000, and the maturity date was extended from August 2029 to September 12, 2030.</w:t>
      </w:r>
    </w:p>
    <w:p>
      <w:pPr>
        <w:spacing w:after="0" w:line="5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each of H2O America, SJWC, SJWTX, CWC and MWC is a borrower with several and not joint liability. Each borrower has an initial borrowing entitlement, or sublimit, which can be periodically adjusted from time to time as set forth in the Credit Agreement. The initial sublimit of each borrower is as presented in the table above.</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either the Alternative Base Rate (as defined in the Credit Agreement and hereinafter referred to as “ABR”) or the Adjusted Term Secured Overnight Financing Rate (as defined in the Credit Agreement and hereinafter referred to as “SOFR”). ABR borrowings (which are borrowings bearing interest at a rate determined by reference to ABR) will bear interest at a rate per annum equal to ABR plus the applicable rate. SOFR borrowings (which are borrowings bearing interest at a rate determined by reference to SOFR) will bear interest at a rate per annum equal to SOFR plus the applicable rate. The applicable rate and pricing is variable depending on credit ratings of the borrower.</w:t>
      </w:r>
    </w:p>
    <w:p>
      <w:pPr>
        <w:spacing w:after="0" w:line="75" w:lineRule="exact"/>
        <w:rPr>
          <w:sz w:val="20"/>
          <w:szCs w:val="20"/>
          <w:color w:val="auto"/>
        </w:rPr>
      </w:pPr>
    </w:p>
    <w:p>
      <w:pPr>
        <w:ind w:right="100"/>
        <w:spacing w:after="0" w:line="391" w:lineRule="auto"/>
        <w:rPr>
          <w:sz w:val="20"/>
          <w:szCs w:val="20"/>
          <w:color w:val="auto"/>
        </w:rPr>
      </w:pPr>
      <w:r>
        <w:rPr>
          <w:rFonts w:ascii="Times New Roman" w:cs="Times New Roman" w:eastAsia="Times New Roman" w:hAnsi="Times New Roman"/>
          <w:sz w:val="18"/>
          <w:szCs w:val="18"/>
          <w:color w:val="auto"/>
        </w:rPr>
        <w:t xml:space="preserve">The Credit Agreement includes a financial covenant that requires each of the borrowers to maintain its funded debt to capitalization ratio at or below 70%. As of December 31, 2025 and 2024, there were $85,000 and $77,000, respectively, in outstanding borrowings under the Credit Agreement. </w:t>
      </w:r>
      <w:r>
        <w:rPr>
          <w:rFonts w:ascii="Times New Roman" w:cs="Times New Roman" w:eastAsia="Times New Roman" w:hAnsi="Times New Roman"/>
          <w:sz w:val="18"/>
          <w:szCs w:val="18"/>
          <w:u w:val="single" w:color="auto"/>
          <w:color w:val="auto"/>
        </w:rPr>
        <w:t>CTWS Credit Agreements</w:t>
      </w:r>
    </w:p>
    <w:p>
      <w:pPr>
        <w:spacing w:after="0" w:line="8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Upon acquisition, CTWS held effective credit agreements with CoBank, ACB and Citizens Bank, N.A., (a former subsidiary of RBS Citizens, N.A. that was a party to the original credit agreement) that provided up to $40,000 and $75,000, respectively, in available borrowings. The credit agreement between CTWS and Citizens Bank, N.A. was amended in December 2019 which reduced available borrowings from $75,000 to $10,000. The credit agreement between CTWS and Citizens Bank, N.A., was further amended in August 2023 which extended the termination date from December 2023 to August 2, 2028. On July 11, 2025, CTWS repaid the outstanding balance of $25,000 under its credit agreement with CoBank, ACB and concurrently terminated the credit agreement.</w:t>
      </w: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there were $1,834 and $2,124, respectively, in outstanding borrowings under the CTWS credit agreement with Citizens Bank, N.A.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SJWC Credit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11, 2025, SJWC entered into a $10,000 credit agreement with JPMorgan Chase Bank, N.A., with a maturity date of June 11,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borrowings under the credit agreement between SJWC and JPMorgan Chase Bank, N.A.,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6.</w:t>
            </w:r>
          </w:p>
        </w:tc>
        <w:tc>
          <w:tcPr>
            <w:tcW w:w="200" w:type="dxa"/>
            <w:vAlign w:val="bottom"/>
          </w:tcPr>
          <w:p>
            <w:pPr>
              <w:spacing w:after="0"/>
              <w:rPr>
                <w:sz w:val="20"/>
                <w:szCs w:val="20"/>
                <w:color w:val="auto"/>
              </w:rPr>
            </w:pPr>
          </w:p>
        </w:tc>
        <w:tc>
          <w:tcPr>
            <w:tcW w:w="50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as of December 31 was as follows: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60" w:type="dxa"/>
            <w:vAlign w:val="bottom"/>
          </w:tcPr>
          <w:p>
            <w:pPr>
              <w:spacing w:after="0"/>
              <w:rPr>
                <w:sz w:val="22"/>
                <w:szCs w:val="22"/>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2"/>
                <w:szCs w:val="22"/>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4"/>
        </w:trPr>
        <w:tc>
          <w:tcPr>
            <w:tcW w:w="40" w:type="dxa"/>
            <w:vAlign w:val="bottom"/>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H2O America Senior notes (a)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2.47% - 3.53%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2029 - 2039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30"/>
        </w:trPr>
        <w:tc>
          <w:tcPr>
            <w:tcW w:w="4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SJWC:</w:t>
            </w:r>
          </w:p>
        </w:tc>
        <w:tc>
          <w:tcPr>
            <w:tcW w:w="2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- 7.20%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2026 - 2055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California Pollution Control Financing Authority Revenue Bond</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3"/>
        </w:trPr>
        <w:tc>
          <w:tcPr>
            <w:tcW w:w="4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SJWC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CTWS bank term loans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4.09%, 4.15%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2027, 2037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w:t>
            </w:r>
          </w:p>
        </w:tc>
      </w:tr>
      <w:tr>
        <w:trPr>
          <w:trHeight w:val="209"/>
        </w:trPr>
        <w:tc>
          <w:tcPr>
            <w:tcW w:w="4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CWC:</w:t>
            </w:r>
          </w:p>
        </w:tc>
        <w:tc>
          <w:tcPr>
            <w:tcW w:w="2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Connecticut Innovations Revenue Bonds, variable rate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2028 - 2029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3.07% - 6.46%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2037 - 2055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r>
      <w:tr>
        <w:trPr>
          <w:trHeight w:val="229"/>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State revolving fund loans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 - 4.75%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2028 - 2036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96,295</w:t>
            </w:r>
          </w:p>
        </w:tc>
      </w:tr>
      <w:tr>
        <w:trPr>
          <w:trHeight w:val="223"/>
        </w:trPr>
        <w:tc>
          <w:tcPr>
            <w:tcW w:w="40" w:type="dxa"/>
            <w:vAlign w:val="bottom"/>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CWC</w:t>
            </w: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448,653</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388,672</w:t>
            </w:r>
          </w:p>
        </w:tc>
      </w:tr>
      <w:tr>
        <w:trPr>
          <w:trHeight w:val="210"/>
        </w:trPr>
        <w:tc>
          <w:tcPr>
            <w:tcW w:w="4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TWC:</w:t>
            </w:r>
          </w:p>
        </w:tc>
        <w:tc>
          <w:tcPr>
            <w:tcW w:w="2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 (a)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 - 6.68%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2041 - 2055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Seller financing debt</w:t>
            </w:r>
          </w:p>
        </w:tc>
        <w:tc>
          <w:tcPr>
            <w:tcW w:w="15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(b)</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23"/>
        </w:trPr>
        <w:tc>
          <w:tcPr>
            <w:tcW w:w="4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109,000</w:t>
            </w: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9"/>
              </w:rPr>
              <w:t>MWC:</w:t>
            </w:r>
          </w:p>
        </w:tc>
        <w:tc>
          <w:tcPr>
            <w:tcW w:w="2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revolving fund loans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 - 2.23%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2026 - 2054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3.89% - 6.47%</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2026 - 2055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3"/>
        </w:trPr>
        <w:tc>
          <w:tcPr>
            <w:tcW w:w="4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101,336</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72,763</w:t>
            </w:r>
          </w:p>
        </w:tc>
      </w:tr>
      <w:tr>
        <w:trPr>
          <w:trHeight w:val="223"/>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1,901,201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1,719,824</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debt premium and discount, net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23"/>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1,866,819</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1,706,904</w:t>
            </w:r>
          </w:p>
        </w:tc>
      </w:tr>
      <w:tr>
        <w:trPr>
          <w:trHeight w:val="21"/>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6" w:lineRule="exact"/>
        <w:rPr>
          <w:sz w:val="20"/>
          <w:szCs w:val="20"/>
          <w:color w:val="auto"/>
        </w:rPr>
      </w:pPr>
    </w:p>
    <w:p>
      <w:pPr>
        <w:ind w:left="660" w:right="100" w:hanging="652"/>
        <w:spacing w:after="0" w:line="302" w:lineRule="auto"/>
        <w:tabs>
          <w:tab w:leader="none" w:pos="6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notes held by institutional investors are unsecured obligations of H2O America, SJWC, CWC, TWC and MWC and require interest-only payments until maturity. To minimize issuance costs, the companies’ debt has primarily been placed privately.</w:t>
      </w:r>
    </w:p>
    <w:p>
      <w:pPr>
        <w:spacing w:after="0" w:line="53"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does not contain a stated interest rate but is discounted using an effective rate of 5.61%.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consolidated company’s schedule of principal payments: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44,699</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325,624</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53,201</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1,450,520</w:t>
            </w:r>
          </w:p>
        </w:tc>
      </w:tr>
    </w:tbl>
    <w:p>
      <w:pPr>
        <w:spacing w:after="0" w:line="16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as of December 31, 2025 and 2024 was $1,716,589 and $1,490,024, respectively, and was determined using a discounted cash flow analysis, based on the current rates for similar financial instruments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same duration and creditworthiness of the company. As of December 31, 2025, $1,715,635 of the total fair value of long-term debt would be categorized as Level 2 in the fair value hierarchy, and $954 would be categorized as Level 3. As of December 31, 2024, $1,473,393 of the total fair value of long-term debt was categorized as Level 2 in the fair value hierarchy, and $16,631 was categorized as Level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SJWC</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31, 2024, SJWC entered into and closed a note purchase agreement with certain institutional investors, pursuant to which the company sold an aggregate principal amount of $75,000 of its 5.63% Senior Notes, Series Q (“Series Q Notes”). The Series Q Notes are unsecured obligations of SJWC and are due on July 31, 2054. Interest is payable semi-annually in arrears on January 31st and July 31st of each year.</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November 12, 2025, SJWC entered into a note purchase agreement with certain institutional investors, pursuant to which the company sold an aggregate principal amount of $55,000 of its 5.83% Senior Notes, Series R (“Series R Notes”). The Series R Notes are unsecured obligations of SJWC and are due on November 1, 2055. Interest is payable semi-annually in arrears on May 1st and November 1st of each year, commencing May 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CWC</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31, 2024, CWC entered into a note purchase agreement with certain institutional investors, pursuant to which the company sold an aggregate principal amount of $50,000 of its 5.78% Senior Notes, Series 2024 (“Series 2024 Notes”). The Series 2024 Notes are unsecured obligations of CWC and are due on July 31, 2054. Interest is payable semi-annually in arrears on January 31st and July 31st of each year. The closing of the notes purchase agreement occurred in August 2024.</w:t>
      </w:r>
    </w:p>
    <w:p>
      <w:pPr>
        <w:spacing w:after="0" w:line="7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October 28, 2025, CWC entered into a note purchase agreement with certain institutional investors, pursuant to which the company agreed to sell an aggregate principal amount of $60,000 of its 6.08% Senior Notes, Series 2025 (“Series 2025 Notes”). The Series 2025 Notes are unsecured obligations of CWC and are due on November 1, 2055. Interest is payable semi-annually in arrears on May 1st and November 1st of each year, commencing May 1, 2026.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TWC and TWR</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2023, TWR closed on an asset acquisition that included an obligation for a post-closing production payment of $29,000 to the seller over a period of up to 29 years. The repayment schedule is based on the quantity of groundwater produced from the acquired wells, subject to certain provisions in the purchase agreement. The difference between the gross obligation of $29,000 and the fair value at the date of acquisition is reflected as a debt discount and is being amortized as interest expense using the effective interest method over the life of the obligation. During the third quarter of 2024, TWC assumed the obligation in connection with an asset purchase agreement pursuant to which TWC acquired all of the net assets of TWR.</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December 6, 2024, TWC issued a promissory note to CoBank under an existing master loan agreement for a principal amount of $20,000 at a fixed interest rate of 6.47%. This note is an unsecured obligation of TWC due on November 20, 2054. Interest is payable quarterly in arrears on the 20th day of January, April, July and October of each year. In January 2025, TWC amended the existing master loan agreement to modify one of the financial covenants. All of the other terms and conditions remain the same.</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September 18, 2025, TWC issued a promissory note to a CoBank under an existing master loan agreement for a principal amount of $40,000 at a fixed interest rate of 6.68%. This note is an unsecured obligation of TWC due on September 1, 2055. Interest is payable quarterly in arrears on the 20th day of January, April, July and October of each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MWC</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MWC finances a portion of its capital improvement program through loans under state revolving fund programs, including the Safe Drinking Water Revolving Fund (“SDWSRF”). In 2024, MWC obtained MPUC approval to issue two First Mortgage Bonds through the Maine Municipal Bond Bank. The Series X Bond totaled $3,330, inclusive of $598 of principal forgiveness, resulting in a net loan of $2,732; the issuance was approved on August 22, 2024 and completed on October 1, 2024. The Series Y Bond totaled $3,596, inclusive of $1,258 of principal forgiveness, resulting in a net loan of $2,337; the issuance was approved on August 22, 2024 and completed on November 1, 2024. Each bond constitutes an unsecured obligation of MWC, with the Series X Bond maturing on April 1, 2044 and the Series Y Bond maturing on April 1, 2054, and each bears a fixed interest rate of 1%. Interest is payable semi-annually in arrears on April 1 and October 1, commencing April 1, 2025.</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December 6, 2024, MWC issued a promissory note to CoBank under an existing master loan agreement for a principal amount of $15,000 at a fixed interest rate of 6.47%. This note is an unsecured obligation of MWC due on November 20, 2054. Interest is payable quarterly in arrears on the 20th day of January, April, July and October of each year.</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May 23, 2025, MWC submitted an application with the MPUC seeking approval to issue unsecured notes in an amount up to $25,000. The MPUC granted approval on June 17, 2025. On July 10, 2025, MWC issued a promissory note to CoBank under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 existing master loan agreement for a principal amount of $25,000 at a fixed interest rate of 6.70%. The note is an unsecured obligation of MWC due on July 20, 2055. Interest is payable quarterly in arrears on the 20th day of January, April, July and October of each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Covenants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H2O America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outstanding notes becoming immediately due and payable. As of December 31, 2025, H2O America and its subsidiaries were in compliance with all covenants related to its long-term debt agreements.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6340" w:type="dxa"/>
            <w:vAlign w:val="bottom"/>
            <w:gridSpan w:val="2"/>
          </w:tcPr>
          <w:p>
            <w:pPr>
              <w:jc w:val="right"/>
              <w:ind w:right="489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tax expense were: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1"/>
        </w:trPr>
        <w:tc>
          <w:tcPr>
            <w:tcW w:w="1000" w:type="dxa"/>
            <w:vAlign w:val="bottom"/>
          </w:tcPr>
          <w:p>
            <w:pPr>
              <w:spacing w:after="0"/>
              <w:rPr>
                <w:sz w:val="24"/>
                <w:szCs w:val="24"/>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10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3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r>
      <w:tr>
        <w:trPr>
          <w:trHeight w:val="230"/>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5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r>
      <w:tr>
        <w:trPr>
          <w:trHeight w:val="229"/>
        </w:trPr>
        <w:tc>
          <w:tcPr>
            <w:tcW w:w="1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48"/>
        </w:trPr>
        <w:tc>
          <w:tcPr>
            <w:tcW w:w="100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income tax expense to the amount computed by applying the federal statutory rate to income before income taxes of $114,933, $102,937 and $90,943 in 2025, 2024 and 2023, respectively: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18"/>
                <w:szCs w:val="18"/>
                <w:b w:val="1"/>
                <w:bCs w:val="1"/>
                <w:color w:val="auto"/>
                <w:vertAlign w:val="superscript"/>
              </w:rPr>
              <w:t>(a)</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at federal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taxes attributable to:</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 (b)</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flow-through</w:t>
            </w:r>
          </w:p>
        </w:tc>
        <w:tc>
          <w:tcPr>
            <w:tcW w:w="3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flow-through</w:t>
            </w:r>
          </w:p>
        </w:tc>
        <w:tc>
          <w:tcPr>
            <w:tcW w:w="30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rate regulation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Flow-through</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Reversal of excess deferred taxes recognized in regulatory liability</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30"/>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items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48"/>
        </w:trPr>
        <w:tc>
          <w:tcPr>
            <w:tcW w:w="6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660" w:right="100" w:hanging="328"/>
        <w:spacing w:after="0" w:line="267" w:lineRule="auto"/>
        <w:tabs>
          <w:tab w:leader="none" w:pos="65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ASU 2023-09 “Improvements to Income Tax Disclosures” was adopted prospectively with the annual financial statements for the year ended December 31, 2025. Accordingly, the table above was updated for the year ended December 31, 2025 to present disclosures as per the new ASU.</w:t>
      </w:r>
    </w:p>
    <w:p>
      <w:pPr>
        <w:ind w:left="660" w:right="640" w:hanging="328"/>
        <w:spacing w:after="0" w:line="257"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Majority of the tax expense reported in this category relates to California. State flow-through adjustments are included in this category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deferred tax liability as of December 31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and contributions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investment tax credit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Pensions, postretirement benefits and 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premium,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California franchise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related regulatory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23,112</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73,732</w:t>
            </w: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277,085</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gain and other-property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 - business combinations debt premium,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related regulatory asset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50,728</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384,089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349,775</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evaluates the realizability of deferred tax assets based on all available evidence, both positive and negative. The realization of deferred tax assets is dependent on our ability to generate sufficient future taxable income during periods in which the deferred tax assets are expected to reverse. Based on all available evidence, management believes it is more likely than not that H2O America will realize the benefits of its deferred tax assets. Net operating loss carryforwards expire beginning in 2032 and ending in 2043. As of December 31, 2025, the estimated amount of net operating loss carryforwards available to offset future taxable income for Connecticut purposes is $20,739. The estimated state tax credit carryforwards are $907, which will expire beginning in 2028 and ending in 2049.</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change in the net deferred tax liabilities of $31,850 included non-cash items primarily consisting of regulatory assets and liabilities relating to income tax temporary differences.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before the impact of deductions for state taxes, excluding interest and penalties was $4,094 and $3,707 as of December 31, 2025 and 2024, respectively. The amount of tax benefits, net of any federal benefits for state taxes that would impact the effective rate, if recognized, is approximately $3,514 and $3,150 as of December 31,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related to tax positions taken during the current year</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related to tax positions taken during a prior year</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related to statute expiration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related to tax positions taken in a prior year</w:t>
            </w:r>
          </w:p>
        </w:tc>
        <w:tc>
          <w:tcPr>
            <w:tcW w:w="9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decrease in gross unrecognized tax benefits in 2023 was primarily due to the release of uncertain tax position reserve relating to repairs tax deductions. In April 2023, the IRS issued additional tax guidance that has allowed H2O America to revisit certain historical income tax reserves. Pursuant to the issuance of this guidance, which provided additional clarification regarding some of the uncertain tax areas, the company re-evaluated the risk relating to repair deductions. The result of the analysis led to a release of uncertain tax position reserve. The release relates to repairs expenditures which are more likely than not to be sustained on audit. The net release due to re-evaluation of the reserve was $3,125.</w:t>
      </w:r>
    </w:p>
    <w:p>
      <w:pPr>
        <w:spacing w:after="0" w:line="11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H2O America’s policy is to classify interest and penalties associated with unrecognized tax benefits, if any, in tax expense. Accrued interest expense, net of the benefit of tax deductions which would be available on the payment of such interest, is approximately $283 as of December 31, 2025. H2O America has not accrued any penalties for unrecognized tax benefits. The amount of interest recognized in 2025 was a decrease to expense of $33.</w:t>
      </w:r>
    </w:p>
    <w:p>
      <w:pPr>
        <w:spacing w:after="0" w:line="9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H2O America files U.S. federal income tax returns and income tax returns in various states and is subject to ordinary statute of limitation of three years for federal and three or four years for different state returns. However, due to tax attribute carryforwards, H2O America is subject to examination for tax years 2012 forward for state returns of CTWS and its subsidiaries. The statute of limitations for H2O America returns is closed for these extended years and remains open for 2022 and forward for federal and 2021 or 2022 and forward for different states.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for the year ending December 31, 2025 were as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80" w:type="dxa"/>
            <w:vAlign w:val="bottom"/>
          </w:tcPr>
          <w:p>
            <w:pPr>
              <w:jc w:val="right"/>
              <w:ind w:right="13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7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78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1"/>
        </w:trPr>
        <w:tc>
          <w:tcPr>
            <w:tcW w:w="8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exceeded 5% of total income taxes paid (net of refunds) in the following jurisdictions: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7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Maine</w:t>
            </w:r>
          </w:p>
        </w:tc>
        <w:tc>
          <w:tcPr>
            <w:tcW w:w="7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7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78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0"/>
        </w:trPr>
        <w:tc>
          <w:tcPr>
            <w:tcW w:w="8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below the threshold for the period presented</w:t>
      </w:r>
    </w:p>
    <w:p>
      <w:pPr>
        <w:spacing w:after="0" w:line="3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July 4, 2025, Public Law No. 119-21, referred to as the One Big Beautiful Bill Act (“OBBBA”), was signed into law. The OBBBA contains several changes to corporate taxation including the extension of key provisions of the 2017 Tax Cuts and Jobs Act. The legislation has multiple effective dates, with certain provisions effective in 2025 and others phased in through tax year 2027. The legislation may be subject to further clarification and the issuance of interpretive guidance. The Company evaluated the impact of the OBBBA tax legislation for the year ended December 31, 2025, and the impact was not material to the provision for income taxes and deferred tax balances.</w:t>
      </w:r>
    </w:p>
    <w:p>
      <w:pPr>
        <w:spacing w:after="0" w:line="3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Utility plant intangible assets consist of $28,386 of indefinite-lived water rights, $13,400 related to the purchase premium for customer relationships, and other intangibles of $9,897 as of December 31, 2025. Other intangibles primarily consist of $4,371 for service area expansions by TWC, $1,400 for customer relationships and $1,040 incurred in conjunction with Valley Water water contracts related to the operation of SJWC.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intangible assets was $1,095, $1,429 and $1,310 for the years ended December 31, 2025,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2026 through 2030 and thereafter is anticipated to be approximately $1,095 per year.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as of December 31, 2025 and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Plant Intangible Assets: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Indefinite-lived water rights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premium customer relationships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0" w:type="dxa"/>
            <w:vAlign w:val="bottom"/>
          </w:tcPr>
          <w:p>
            <w:pPr>
              <w:spacing w:after="0"/>
              <w:rPr>
                <w:sz w:val="1"/>
                <w:szCs w:val="1"/>
                <w:color w:val="auto"/>
              </w:rPr>
            </w:pPr>
          </w:p>
        </w:tc>
      </w:tr>
      <w:tr>
        <w:trPr>
          <w:trHeight w:val="223"/>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plant intangible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0" w:type="dxa"/>
            <w:vAlign w:val="bottom"/>
          </w:tcPr>
          <w:p>
            <w:pPr>
              <w:spacing w:after="0"/>
              <w:rPr>
                <w:sz w:val="1"/>
                <w:szCs w:val="1"/>
                <w:color w:val="auto"/>
              </w:rPr>
            </w:pPr>
          </w:p>
        </w:tc>
      </w:tr>
      <w:tr>
        <w:trPr>
          <w:trHeight w:val="23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premium customer relationships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plant net intangible assets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42,079</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71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20" w:type="dxa"/>
            <w:vAlign w:val="bottom"/>
            <w:vMerge w:val="continue"/>
          </w:tcPr>
          <w:p>
            <w:pPr>
              <w:spacing w:after="0"/>
              <w:rPr>
                <w:sz w:val="24"/>
                <w:szCs w:val="24"/>
                <w:color w:val="auto"/>
              </w:rPr>
            </w:pPr>
          </w:p>
        </w:tc>
        <w:tc>
          <w:tcPr>
            <w:tcW w:w="71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SJWC purchases water from Valley Water under terms of a master contract expiring in 2051. Delivery schedules for purchased water are based 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year beginning July 1, and are negotiated every three years under terms of the master contract with Valley Water.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SJWC purchased from Valley Water 15.9 billion gallons ($120,322), 17.0 billion gallons ($117,698) and 18.3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gallons ($111,173), respectively, of contract water. On June 12, 2024, the Valley Water Board of Directors approved treated water deliveries reflecting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delivery schedule reduced by 23% through June 30, 2025. Based on current prices and estimated deliveries, SJWC is committed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Valley Water a minimum of 90% of the reduced delivery schedule, or 18.9 billion gallons ($148,795) of water at the current contract water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$7.872 million per billion gallons for the year ending December 31, 2026. Additionally, SJWC purchases non-contract water from Valley Water on 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needed” basis if the water supply is available.</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SJWC operates the Cupertino municipal water system under a service concession arrangement. The system is adjacent to the SJWC service area and has approximately 4,700 service connections. The original agreement commenced in October 1997 and expired on September 30, 2024. Effective October 2024, SJWC entered into a new 12-year agreement with the City of Cupertino subject to an additional term of eight years if agreed to by the parties. SJWC paid an upfront concession fee of $22.1 million in 2024 and agreed to pay, beginning in 2024, an annual investment rent of $1.8 million, subject to annual adjustment based on a specified construction cost index. The concession fees are amortized as reductions to operating revenue over the applicable contract term and the annual investment rent payments are amortized as reductions to operating revenue over the annual period to which they relate. Under the terms of the agreement, SJWC assumes responsibility for all maintenance and operating costs of the system, while receiving all payments for water service.</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CWC is able, but under no obligation, to purchase up to one million gallons of water per day from RWA, at the then-current wholesale rates per the agreement, $3.3 million per billion gallons as of December 31, 2025. CWC has an agreement with The MDC to purchase water from MDC to serve the Unionville system. The agreement became effective on October 6, 2000 and has a term of fifty years beginning May 19, 2003, the date the water supply facilities related to the agreement were placed in service. CWC agrees to purchase 0.28 billion gallons of water annually from MDC. The rate charged by the MDC at December 31, 2025 was $3.91 per hundred cubic feet.</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TWC has multiple long-term contracts with the GBRA. The terms of the agreements expire in 2037, 2040, 2044 and 2050, respectively. The agreements, which are take-or-pay contracts, provide TWC with 7,602 acre-feet per year of water supply from Canyon Lake. The water rate may be adjusted by GBRA at any time, provided they give TWC a 60-day written notice on the proposed adjustment. TWC also has treated water supply agreements with the Lower Colorado River Authority and West Travis County Public Utility Agency expiring in 2059 and 2046, respectively, to provide for 350 acre-feet of water per year from Lake Austin and the Colorado River, respectively, at prices that may be adjusted periodically by the agencies.</w:t>
      </w:r>
    </w:p>
    <w:p>
      <w:pPr>
        <w:spacing w:after="0" w:line="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MWC had an agreement with the Kennebec Water District for potable water service. The agreement had previously been in place for 20 years prior to being renewed on November 7, 2020. The renewal contained an initial term of five years and the ability to renew for up to up to 20 years at Kennebec Water District’s option. In November 2025, the agreement was terminated and MWC transitioned from the previously negotiated rate to a standard tariff rate. MWC guarantees a minimum consumption of 0.05 billion gallons of water annually. Through November 2025, water sales to MWC were billed at a wholesale discount of $0.20 per hundred cubic feet of water below Kennebec Water District's tariffed rates. The current tariff rate was $1.51 per hundred cubic feet as of December 31, 2025.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2025, SJWC had 396 employees, of whom 242 were members of unions. In the final quarter of 2025, SJWC executed three-year bargaining agreements with the International Union of Operating Engineers (“OE”), representing certain employees in the engineering department, and the Utility Workers of America (“UWUA”), representing the majority of all nonadministrative employees at SJWC covering the period from January 1, 2026 through December 31, 2028. The agreements include a 3% wage increase provided in 2026, 3% in 2027 and 4.0% in 2028 for the union employees.</w:t>
      </w: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and its subsidiaries are subject to ordinary routine litigation incidental to its business.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 H2O America is unable to provide a reasonable estimate of loss, if any, at this time.</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SJWC and CWC are plaintiffs in a lawsuit against manufacturers and/or sellers of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Multi-District Litigation (“MDL”), that commenced on December 7, 2018, in the United States District Court for the District of South Carolina. MWC has submitted timely claims as a settlement class member.</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defendants for potential impacts to the various claims that these utility subsidiaries have asserted.</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received cash proceeds of $25.1 million, in connection with legal settlements with 3M Company and DuPont de Nemours, Inc. related to PFAS contamination. The proceeds were allocated as follows: SJWC received $17 million; CWC received</w:t>
      </w:r>
    </w:p>
    <w:p>
      <w:pPr>
        <w:jc w:val="both"/>
        <w:spacing w:after="0" w:line="255" w:lineRule="auto"/>
        <w:rPr>
          <w:sz w:val="20"/>
          <w:szCs w:val="20"/>
          <w:color w:val="auto"/>
        </w:rPr>
      </w:pPr>
      <w:r>
        <w:rPr>
          <w:rFonts w:ascii="Times New Roman" w:cs="Times New Roman" w:eastAsia="Times New Roman" w:hAnsi="Times New Roman"/>
          <w:sz w:val="18"/>
          <w:szCs w:val="18"/>
          <w:color w:val="auto"/>
        </w:rPr>
        <w:t>$7.6 million; and MWC received $0.5 million, which includes $0.3 million payable to contract operators. The proceeds are compensatory in nature and are intended to compensate the Company for costs incurred, or to be incurred, to address the presence of PFAS compounds in public water supply systems or to be refunded to customers through rate reductions, and have been recorded as a regulatory liability subject to regulatory approval.</w:t>
      </w:r>
    </w:p>
    <w:p>
      <w:pPr>
        <w:spacing w:after="0" w:line="7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H2O America is entitled to receive additional cash proceeds from 3M Company in the subsequent eight years, pursuant to the terms of the settlement agreement. In addition, the Company is party to class action settlements with Tyco Fire Products LP and BASF Corporation.</w:t>
      </w:r>
    </w:p>
    <w:p>
      <w:pPr>
        <w:spacing w:after="0" w:line="54"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H2O America is monitoring and evaluating the ongoing litigation and settlement activity with the PFAS defendants for potential impacts to the various claims that these utility subsidiaries have asserted. However, the amount of any additional proceeds is not estimable as of the date of this filing.</w:t>
      </w:r>
    </w:p>
    <w:p>
      <w:pPr>
        <w:spacing w:after="0" w:line="16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Benefit Plans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H2O America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Effective January 1, 2023, TWC employees became eligible to participate under SJWC’s cash balance plan. Interest is credited based on the annual yield on 30-year Treasury bonds as of October for the preceding plan year with a minimum annual rate of 3.25% and a maximum annual rate of 6.00%. For the year ended December 31, 2025, the interest credits assumption was 4.25%. Certain employees hired before March 1, 2012, and covered by a plan merged into the CWC plan in 2013 are also entitled to benefits based on the employee’s years of service and compensation. CTWS employees hired on or after January 1, 2009 are entitled to an additional 3.0% of eligible compensation to their company sponsored savings plan. H2O America does not have multi-employer plans.</w:t>
      </w:r>
    </w:p>
    <w:p>
      <w:pPr>
        <w:spacing w:after="0" w:line="80"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The pension plans are administered by their respective committees which oversee plan governance and are responsible for establishing investment objectives, policies, and guidelines to achieve the goals of income generation and long-term capital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preservation. H2O America engages third-party investment professionals to assist with, among other things, asset allocation strategy, investment policy advice, performance monitoring, and investment manager due diligence. Effective in 2025, the pension plan committees appointed a discretionary investment manager that qualifies as an “investment manager” under Section 3(38) of the employee retirement income security act of 1974. Under this arrangement, the investment manager has discretionary authority to make investment decisions and to select, appoint, monitor, and terminate underlying investment managers within the parameters established by the pension plans’ investment policies. The pension plan committees retain oversight responsibility and continue to monitor the performance of the investment manager, including reviews of investment results and compliance with the plans’ investment guidelines. Investment managers are not permitted to invest outside of the asset class or strategy authorized under those guidelines. The committees ensure that the plans establish a target mix that is expected to achieve its investment objectives by assuring a broad diversification of investment assets among investment types, while minimizing volatility of the target asset mix, unless market conditions make such a change appropriate to reduce risk. The pension plans require a minimum portion of plan assets to be allocated to fixed income securities and provide guidelines and restrictions on equity investments for the assets.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Plan assets are marked to market at each measurement date, resulting in unrealized actuarial gains or losses. Unrealized actuarial gains and losses on pension assets are amortized over the expected future working lifetime of participants for actuarial expense calculation purposes.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Generally, it is expected of the investment managers that the performance of the assets held in the pension plans, computed on a total annual rate of return basis, should meet or exceed specific performance standards over a three-to-five-year period and/or full market cycle. These standards include specific absolute and risk-adjusted performance standards over a three-to-five-year period and/or full market cycle. The expected long-term rate of return on the pension plan assets is between 6.50% and 6.75% for the year ended December 31, 2025.</w:t>
      </w:r>
    </w:p>
    <w:p>
      <w:pPr>
        <w:spacing w:after="0" w:line="9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H2O America calculates the market-related value of defined benefit pension plan assets, which is defined under FASB ASC Topic 715—“Compensation— Retirement Benefits,” as a balance used to calculate the expected return on plan assets, using fair value. The fair value is based on quoted prices in active markets for identical assets and significant observable inputs.</w:t>
      </w:r>
    </w:p>
    <w:p>
      <w:pPr>
        <w:spacing w:after="0" w:line="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Certain senior management hired before March 31, 2008 for SJWC and January 1, 2009 for CWC are eligible to receive additional retirement benefits under the supplemental executive retirement plans and retirement contracts (collectively, “SERP”). SJWC’s senior management hired on or after March 31, 2008 are eligible to receive additional retirement benefits under SJWC’s Cash Balance Executive Supplemental Retirement Plan (“Cash Balance Executive Supplemental Retirement Plan”). Both of the plans are non-qualified plans in which only senior management and other designated members of management may participate. The annual cost of the plans has been included in the determination of the net periodic benefit cost shown below. The SERP and Cash Balance Executive Supplemental Retirement Plan had a projected benefit obligation of $43,644 and $40,328 as of December 31, 2025 and 2024, respectively, and net periodic pension cost of $3,212, $3,879 and $3,257 for 2025, 2024 and 2023, respectively. For the years ended December 31, 2025, 2024 and 2023, the amounts not recognized as a component of net periodic benefit cost was $(493), $169, and $314, respectively, recorded as other comprehensive income on the consolidated financial statements. SJWC’s non-qualified deferred compensation plans (“NQDCs”) are unfunded. By contrast, CWC’s non-qualified deferred compensation plans are funded, including SERP, through investments consisting primarily of life insurance contracts and assets are held in a Rabbi Trust. As of December 31, 2025 and 2024, total investments made to fund CWC’s SERP were $7,887 and $7,336, respectively, which is included in “Investments” in H2O America’s Consolidated Balance Sheets. The life insurance contracts are valued at cash surrender value of the policies as reported by the insurer. As of December 31, 2025 and 2024, the value of the life insurance contracts was $4,852 and $4,294, respectively.</w:t>
      </w:r>
    </w:p>
    <w:p>
      <w:pPr>
        <w:spacing w:after="0" w:line="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values of the Rabbi Trust investment assets to fund CWC’s SERP by major categories as of December 31, 2025 and 2024:</w:t>
      </w:r>
    </w:p>
    <w:p>
      <w:pPr>
        <w:spacing w:after="0" w:line="200" w:lineRule="exact"/>
        <w:rPr>
          <w:sz w:val="20"/>
          <w:szCs w:val="20"/>
          <w:color w:val="auto"/>
        </w:rPr>
      </w:pP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2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40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2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9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2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43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94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providing pension and savings benefits, the company also provides health care and life insurance benefits for eligible retired employees under the respective employer-sponsored postretirement benefits other than pension plans. The benefits are paid by the company and not from plan assets due to limitations imposed by Internal Revenue Service.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Flexible Spending Plan</w:t>
      </w:r>
    </w:p>
    <w:p>
      <w:pPr>
        <w:spacing w:after="0" w:line="1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H2O America sponsors flexible spending account plans for its employees for the purpose of providing eligible employees with the opportunity to choose from among the fringe benefits available under the plans. The flexible spending plan is intended to qualify as a cafeteria plan under the provisions of the Internal Revenue Code Section 125. The flexible spending plan allows employees to save pre-tax income in a Health Care Spending Account (“HCSA”) and/or a Dependent Care Spending Account (“DCSA”) to help defray the cost of out-of-pocket medical and dependent care expenses. The annual maximum limit under the HCSA and DCSA plans is $3.3 and $5, respectively.</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Savings Plans for Employees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H2O America also sponsors salary deferral plans which are defined contribution plans that allow employees to defer and contribute a portion of their earnings to the plan. Contributions, not to exceed set limits, are matched by the company. H2O America contributions were $4,928, $4,221 and $3,902 in 2025, 2024 and 2023, respectively. All of the company’s contributions are invested at the direction of the employees in funds offered under the plans.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Special Deferral Election Plans and Deferral Election Program</w:t>
      </w:r>
    </w:p>
    <w:p>
      <w:pPr>
        <w:spacing w:after="0" w:line="16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H2O America maintains a special deferral election plan and a deferred compensation plan and agreements for senior management and a deferral election program for non-employee directors allowing for the deferral of a portion of their earnings each year and to realize an investment return on those funds during the deferral period. Senior management and non-employee directors have to make an election on the deferral and distribution method of the deferrals before services are rendered. CWC’s deferred compensation plan allows the company to make discretionary contributions. Senior management and non-employee directors had deferred $8,767 and $8,216 under the plans as of December 31, 2025 and 2024, respectively. As of December 31, 2025 and 2024, $6,552 and $6,276, respectively, of the total amount deferred is related to CWC agreements.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Assumptions Utilized on Actuarial Calculations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cost for the defined benefit plans and other postretirement benefits was calculated using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5.55 - 5.63</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4.99 - 5.03</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4.95 - 5.24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5.48 - 5.58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4.95 - 5.01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4.96 - 5.21</w:t>
            </w: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6.50, 6.75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6.25, 6.75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6.00, 6.75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4.20, 6.00</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4.50, 5.00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4.50, 5.00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4.50, 5.00</w:t>
            </w:r>
          </w:p>
        </w:tc>
        <w:tc>
          <w:tcPr>
            <w:tcW w:w="100" w:type="dxa"/>
            <w:vAlign w:val="bottom"/>
          </w:tcPr>
          <w:p>
            <w:pPr>
              <w:spacing w:after="0"/>
              <w:rPr>
                <w:sz w:val="20"/>
                <w:szCs w:val="20"/>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expected rate of return on plan assets was determined based on a review of historical returns, for the pension plans and for medium- to large-sized defined benefit pension funds with similar asset allocations. This review generated separate expected returns for each asset class. These expected future returns were then blended based on the pension plans’ target asset allocations.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obligations for the defined benefit plans and other postretirement benefits were calculated using the following assumptions as of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6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1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47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5.35 - 5.54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5.55 - 5.63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5.11 - 5.43</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5.48 - 5.58</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4.50 - 5.00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4.50 - 5.00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H2O America utilized each plan’s projected benefit stream in conjunction with the FTSE Pension Discount Curve in determining the discount rate used in calculating the pension and other postretirement benefits liabilities at the measurement date.</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H2O America has adopted MP-2021, Mortality Improvement Scales to determine mortality assumptions. The tables and scales reflect increasing life expectancies of participants in the United States. See also “Reconciliation of Funded Status”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other postretirement benefits, the assumed healthcare cost trend rate for 2025 is 8.00%, grading down gradually to 4.50% by 2033.</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Net Periodic Pension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costs for the defined benefit plans and other postretirement benefits for the years ended December 31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76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significant event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Reconciliation of Funded Status</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the defined benefit plans and other postretirement benefits, the benefit obligation is the projected benefit obligation and the accumulated benefit obligation, respectively. The projected benefit obligations and the funded status of the defined benefit pension and other postretirement plans as of December 31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Implicit rate subsidy</w:t>
            </w:r>
          </w:p>
        </w:tc>
        <w:tc>
          <w:tcPr>
            <w:tcW w:w="360" w:type="dxa"/>
            <w:vAlign w:val="bottom"/>
          </w:tcPr>
          <w:p>
            <w:pPr>
              <w:spacing w:after="0"/>
              <w:rPr>
                <w:sz w:val="19"/>
                <w:szCs w:val="19"/>
                <w:color w:val="auto"/>
              </w:rPr>
            </w:pP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and settlements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293,142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25,080</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Change in plan 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and settlements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323,452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23,225</w:t>
            </w: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net actuarial loss on the benefit obligation was related primarily to a loss from changes in the discount rate of $4,219 and a $873 gain from pension data changes. For the year ended December 31, 2024, the net actuarial gain on the benefit obligation was related primarily to a gain from changes of discount rate of $21,129 and a $6,005 loss from pension data changes.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on the balance sheet as of December 31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23"/>
        </w:trPr>
        <w:tc>
          <w:tcPr>
            <w:tcW w:w="47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1"/>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accumulated benefit obligation of the defined benefit pension plans was $269,908 and $263,607,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selected information about plans with projected benefit obligation and accumulated benefit obligation in excess of plan assets as of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Plans with projected benefit obligation in excess of plan assets: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40,328</w:t>
            </w: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with accumulated benefit obligation in excess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38,053</w:t>
            </w:r>
          </w:p>
        </w:tc>
      </w:tr>
      <w:tr>
        <w:trPr>
          <w:trHeight w:val="230"/>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with accumulated benefit obligation in excess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H2O America recognizes regulatory assets and liabilities that represent actuarial losses and gains and prior service cost that have not yet been recognized as components of net periodic benefit cost for certain of its pension and other postretirement benefit plans, in accordance with ASC Topic 980. H2O America had no recorded regulatory assets as of December 31, 2025, and $3,177 as of December 31, 2024. Regulatory liabilities were $32,996 and $27,872 as of December 31, 2025 and 2024, respectively. As of December 31, 2024, the amount deferred in regulatory assets that has not yet been recognized as a component of net periodic benefit cost included a net loss of $3,150 and prior service cost of $27. As of December 31, 2025 and 2024, the amounts deferred in regulatory liabilities that have not yet been recognized as components of net periodic benefit cost include net gain of $32,996 and $27,872, respectively.</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as of December 31 were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169,758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116,987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8,656</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5,368</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146,967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179,103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15,716</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16,737</w:t>
            </w:r>
          </w:p>
        </w:tc>
      </w:tr>
      <w:tr>
        <w:trPr>
          <w:trHeight w:val="229"/>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323,452</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307,947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24,908</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23,225</w:t>
            </w: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fair values of plan assets by major categories as of December 31,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162,683</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162,683</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(b)</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171,622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348,360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341,568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Actively managed portfolio of equity securities with the goal to exceed the benchmark performance.</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Actively managed portfolio of fixed income securities with the goal to exceed the benchmark performance.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195,840</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195,840</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46,549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331,172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255,366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75,806</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In 2026, H2O America expects to make required and discretionary cash contributions of up to $7,682 to the pension plans and other postretirement benefit plans.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expected to be paid in the next five years and in the aggregate for the five years thereafter 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80" w:type="dxa"/>
            <w:vAlign w:val="bottom"/>
          </w:tcPr>
          <w:p>
            <w:pPr>
              <w:spacing w:after="0"/>
              <w:rPr>
                <w:sz w:val="13"/>
                <w:szCs w:val="13"/>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0" w:type="dxa"/>
            <w:vAlign w:val="bottom"/>
          </w:tcPr>
          <w:p>
            <w:pPr>
              <w:spacing w:after="0"/>
              <w:rPr>
                <w:sz w:val="1"/>
                <w:szCs w:val="1"/>
                <w:color w:val="auto"/>
              </w:rPr>
            </w:pPr>
          </w:p>
        </w:tc>
      </w:tr>
      <w:tr>
        <w:trPr>
          <w:trHeight w:val="228"/>
        </w:trPr>
        <w:tc>
          <w:tcPr>
            <w:tcW w:w="1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2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3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2031 - 2035</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0" w:type="dxa"/>
            <w:vAlign w:val="bottom"/>
          </w:tcPr>
          <w:p>
            <w:pPr>
              <w:spacing w:after="0"/>
              <w:rPr>
                <w:sz w:val="1"/>
                <w:szCs w:val="1"/>
                <w:color w:val="auto"/>
              </w:rPr>
            </w:pPr>
          </w:p>
        </w:tc>
      </w:tr>
      <w:tr>
        <w:trPr>
          <w:trHeight w:val="54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6900" w:type="dxa"/>
            <w:vAlign w:val="bottom"/>
            <w:gridSpan w:val="2"/>
          </w:tcPr>
          <w:p>
            <w:pPr>
              <w:jc w:val="right"/>
              <w:ind w:right="5630"/>
              <w:spacing w:after="0"/>
              <w:rPr>
                <w:sz w:val="20"/>
                <w:szCs w:val="20"/>
                <w:color w:val="auto"/>
              </w:rPr>
            </w:pPr>
            <w:r>
              <w:rPr>
                <w:rFonts w:ascii="Times New Roman" w:cs="Times New Roman" w:eastAsia="Times New Roman" w:hAnsi="Times New Roman"/>
                <w:sz w:val="18"/>
                <w:szCs w:val="18"/>
                <w:b w:val="1"/>
                <w:bCs w:val="1"/>
                <w:color w:val="auto"/>
              </w:rPr>
              <w:t>Equity Plans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H2O America’s long-term incentive plans provide employees, non-employee board members or the board of directors of any parent or subsidiary, consultants, and other independent advisors who provide services to the company or subsidiary the opportunity to acquire an equity interest in H2O America. H2O America also maintains stock plans in connection with its acquisition of CTWS which are no longer granting new stock awards. In addition, shares are issued to employees under H2O America’s employee stock purchase plan.</w:t>
      </w:r>
    </w:p>
    <w:p>
      <w:pPr>
        <w:spacing w:after="0" w:line="7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On April 26, 2023, H2O America adopted the successor plans, the 2023 Long-Term Incentive Plan and the 2023 Employee Stock Purchase Plan, to replace the Amended and Restated Long-Term Incentive Plan (the “Predecessor Incentive Plan”) and the 2014 Employee Stock Purchase Plan (the “Predecessor ESPP”), respectively. The Predecessor Incentive Plan terminated on April 23, 2023 and the Predecessor ESPP terminated on July 31, 2023. Each outstanding award under the Predecessor Incentive Plan will remain outstanding under the Predecessor Incentive Plan and shall be governed solely by the terms of the documents evidencing such awards. The 2023 Long-Term Incentive Plan reserves a total of 1,142,000 shares of H2O America’s common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stock for issuance to employees, non-employee board members or the board of directors of any parent or subsidiary, consultants, and other independent advisors who provide services to the H2O America and its subsidiaries. The 2023 Employee Stock Purchase Plan reserves for a total of 500,000 shares of H2O America’s common stock for issuance for eligible employees to purchase common stock at a discount through accumulated payroll deductions. Remaining reserves for both of the predecessor plans were terminated with the adoption of the successor plans.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participant in the plans generally may not receive plan awards covering an aggregate of more than 600,000 shares of common stock in any calendar year. Additionally, awards granted under the plans may be conditioned upon the attainment of specified Company performance goals. The types of awards included in the plans are restricted stock awards, restricted stock units, performance shares, or other share-based awards. In addition, shares are issued to employees under the employee stock purchase plan (“ESPP”) that was approved by H2O America stockholders.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2025, 2024 and 2023, 1,213,202, 1,142,770 and 1,080,759 shares have been issued pursuant to the plans, and 278,565, 191,177 and 150,704 shares are issuable upon the vesting of outstanding restricted stock units, performance-based stock units, and deferred restricted stock units for the years ended 2025, 2024 and 2023, respectively. The remaining shares available for issuance under the plans are 862,815 as of December 31, 2025. The compensation costs charged to income is recognized on a straight-line basis over the requisite service period.</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summary of compensation costs charged to income and proceeds from share-based compensation, which are recorded to additional paid-in capital and common stock, by award type, are presented below for the years ended December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ESPP</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summary of H2O America’s outstanding restricted and deferred restricted stock awards under the Plan as of December 31, 2025, and changes during the year ended December 31, 2025, are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8060" w:type="dxa"/>
            <w:vAlign w:val="bottom"/>
          </w:tcPr>
          <w:p>
            <w:pPr>
              <w:spacing w:after="0"/>
              <w:rPr>
                <w:sz w:val="11"/>
                <w:szCs w:val="11"/>
                <w:color w:val="auto"/>
              </w:rPr>
            </w:pPr>
          </w:p>
        </w:tc>
        <w:tc>
          <w:tcPr>
            <w:tcW w:w="16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1"/>
                <w:szCs w:val="11"/>
                <w:color w:val="auto"/>
              </w:rPr>
            </w:pPr>
          </w:p>
        </w:tc>
        <w:tc>
          <w:tcPr>
            <w:tcW w:w="1340" w:type="dxa"/>
            <w:vAlign w:val="bottom"/>
          </w:tcPr>
          <w:p>
            <w:pPr>
              <w:jc w:val="right"/>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vested as of December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H2O America’s nonvested restricted and deferred restricted stock awards under the plans as of December 31, 2025, and changes during the year ended December 31, 2025, are presented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60" w:type="dxa"/>
            <w:vAlign w:val="bottom"/>
          </w:tcPr>
          <w:p>
            <w:pPr>
              <w:spacing w:after="0"/>
              <w:rPr>
                <w:sz w:val="12"/>
                <w:szCs w:val="12"/>
                <w:color w:val="auto"/>
              </w:rPr>
            </w:pPr>
          </w:p>
        </w:tc>
        <w:tc>
          <w:tcPr>
            <w:tcW w:w="16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4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Total fair value of restricted stock awards for all plans that were vested for the years ended 2025, 2024 and 2023 were $1,478, $4,788 and $4,170, respectively. As of December 31, 2025, the total unrecognized compensation costs related to restricted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restricted stock plans amounted to $8,939. This cost is expected to be recognized over a weighted-average period of 1.14 years.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29,413, 33,670 and 15,955, respectively, of performance-based and market-based restricted stock awards were issued upon the attainment of certain performance metrics and service-based vesting under the Plan.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 As of December 31, 2025, 7,805 performance-based and market-based restricted stock awards vested and 28,598 remained outstanding.</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H2O America’s common stock at 85% of the fair value of shares on the purchase date. Under the ESPP, employees can designate up to a maximum of 10% of their base compensation for the purchase of shares of common stock, subject to certain restrictions. A total of 500,000 shares of H2O America’s common stock have been reserved for issuance under the ESPP. The remaining shares available for issuance under the ESPP are 406,286 as of December 31, 2025.</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2024 and 2023, a total of 50,861, 42,853 and 34,122 shares, respectively, were issued under the ESPP. The plan has no look-back provisions.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H2O America’s single reportable segment provides water utility and utility-related services to its customers through H2O America’s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H2O America Land Company and Chester Realty, Inc., contract water and sewer operations and other water-related services provided by NEWUS are referred to as “Other Services.”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H2O America’s operating segments have been determined based on information used by the chief operating decision maker. H2O America’s chief operating decision makers (“CODM”) include the Chair and Chief Executive Officer; the Chief Financial Officer and Treasurer; the President and Chief Operating Officer; the President of Shared Services and Senior Vice President and Chief Administrative Officer; and the Vice President and General Counsel. However, ultimate decision-making authority rests with the Chair and Chief Executive Officer. The CODM reviews financial information presented on a consolidated basis that is accompanied by certain disaggregated information about operating revenue, expenses, net income, and total assets. The CODM uses the net income to assess the financial performance of the segments and allocate resources (including employees, financial, or capital resources) in the budgeting and forecasting process.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Previously, H2O America presented a separate reportable segment for Real Estate Services and also presented a disaggregation of regulated and non-tariffed activities within the Water Utility Services reportable segment. Considering the sale of the Tennessee properties, as discussed in Note 2, which were part of the Real Estate Services segment, management has updated its segment presentation and has recast the prior periods presented to conform with the current period presentation. Under the current presentation, the activities of Water Utility Services previously presented as “non-tariffed” are generally presented as “Other Services” along with the real estate activity. Certain allocated assets, such as goodwill, revenue and expenses have been included in the reportable segment amounts. Certain corporate costs and expenses are not allocated to Water Utility Services or Other Services and are shown separately to reconcile to the applicable consolidated amounts.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540" w:type="dxa"/>
            <w:vAlign w:val="bottom"/>
          </w:tcPr>
          <w:p>
            <w:pPr>
              <w:spacing w:after="0"/>
              <w:rPr>
                <w:sz w:val="10"/>
                <w:szCs w:val="10"/>
                <w:color w:val="auto"/>
              </w:rPr>
            </w:pPr>
          </w:p>
        </w:tc>
        <w:tc>
          <w:tcPr>
            <w:tcW w:w="1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787,099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800,590</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311,161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72,575</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102,578</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519,753</w:t>
            </w:r>
          </w:p>
        </w:tc>
        <w:tc>
          <w:tcPr>
            <w:tcW w:w="1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519,753</w:t>
            </w:r>
          </w:p>
        </w:tc>
        <w:tc>
          <w:tcPr>
            <w:tcW w:w="0" w:type="dxa"/>
            <w:vAlign w:val="bottom"/>
          </w:tcPr>
          <w:p>
            <w:pPr>
              <w:spacing w:after="0"/>
              <w:rPr>
                <w:sz w:val="1"/>
                <w:szCs w:val="1"/>
                <w:color w:val="auto"/>
              </w:rPr>
            </w:pPr>
          </w:p>
        </w:tc>
      </w:tr>
      <w:tr>
        <w:trPr>
          <w:trHeight w:val="512"/>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732,580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748,439</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286,763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377,208</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1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98,656</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66,144</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288,627</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right="220" w:hanging="652"/>
        <w:spacing w:after="0" w:line="259" w:lineRule="auto"/>
        <w:tabs>
          <w:tab w:leader="none" w:pos="32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Services” category includes the accounts of H2O America Land Co, Chester Reality, Inc., SJWC’s Cupertino service concession arrangement operations, TWOS, TWR, and NEWUS, on a stand-alone basis.</w:t>
      </w: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“Unallocated Corporate” category includes the accounts of H2O America, H2O America NE LLC, H2O America TX Holdings, Inc., CTWS, NWU on a stand-alone basis.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pension non-service credit (cost) and items of miscellaneous non-operating income (expense).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assets for the Water Utility Services reportable segment and all other are as follows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 (reportable segment)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5,054,235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4,567,182</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25,053</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66,074</w:t>
            </w:r>
          </w:p>
        </w:tc>
        <w:tc>
          <w:tcPr>
            <w:tcW w:w="0" w:type="dxa"/>
            <w:vAlign w:val="bottom"/>
          </w:tcPr>
          <w:p>
            <w:pPr>
              <w:spacing w:after="0"/>
              <w:rPr>
                <w:sz w:val="1"/>
                <w:szCs w:val="1"/>
                <w:color w:val="auto"/>
              </w:rPr>
            </w:pPr>
          </w:p>
        </w:tc>
      </w:tr>
      <w:tr>
        <w:trPr>
          <w:trHeight w:val="223"/>
        </w:trPr>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64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5,149,566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4,658,309</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6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200" w:type="dxa"/>
            <w:vAlign w:val="bottom"/>
            <w:vMerge w:val="continue"/>
          </w:tcPr>
          <w:p>
            <w:pPr>
              <w:spacing w:after="0"/>
              <w:rPr>
                <w:sz w:val="24"/>
                <w:szCs w:val="24"/>
                <w:color w:val="auto"/>
              </w:rPr>
            </w:pPr>
          </w:p>
        </w:tc>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Quadvest acquisition</w:t>
      </w:r>
    </w:p>
    <w:p>
      <w:pPr>
        <w:spacing w:after="0" w:line="12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On July 7, 2025, the Company, through its indirect subsidiary, TWC, entered into an asset purchase agreement (the “Regulated Business APA”)”, with Quadvest, L.P. (“Quadvest Retail”) and the Company, as guarantor, pursuant to which, and subject to the terms and conditions set forth therein, Quadvest Retail has agreed to sell, and TWC has agreed to acquire, substantially all of the assets of Quadvest L.P. related to the operation of Quadvest L.P.’s water and sewer utility business at a purchase price consisting of a base amount of $483,600, with certain adjustments based on capital expenditures (the “Regulated Business Transaction”). The Regulated Business Transaction will be subject to the satisfaction of various closing conditions set forth in the Regulated Business APA, including satisfaction of the closing conditions with respect to the Wholesale Business Transaction described below.</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Concurrently on July 7, 2025, the Company, its indirect subsidiaries, TWOS and TWC (together with the Company and TWOS, the “Purchasers”), entered into another asset purchase agreement (the “Wholesale Business APA”), with Quadvest Retail and its affiliate, Quadvest Wholesale, LLC, (“Quadvest Wholesale”) pursuant to which, and subject to the terms and conditions set forth therein, Quadvest Wholesale has agreed to sell, and TWOS has agreed to acquire substantially all of the assets of Quadvest Wholesale related to the operation of Quadvest Wholesale’s wholesale water and sewer business at a purchase price consisting of a base amount of $56,400, with certain adjustments based on capital expenditures (the “Wholesale 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Transaction”). The Wholesale Business Transaction will be subject to the satisfaction of various closing conditions set forth in the Wholesale Business APA, including the simultaneous closing of the Regulated Business Transaction described above.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9, 2025, TWC filed a request with the PUCT to use FMV to support its acquisition of Quadvest Retail. On August 7, 2025, the PUCT appointed three appraisers to determine the FMV. In December 2025, TWC received the appraised FMV from the PUCT-appointed appraisers for the assets of Quadvest Retail. In accordance with Texas’ FMV statute, the purchase price of $483.6 million will serve as the ratemaking rate base. TWC filed its STM application with the PUCT in January 2026.</w:t>
      </w:r>
    </w:p>
    <w:p>
      <w:pPr>
        <w:spacing w:after="0" w:line="3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Subsequent Event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r>
      <w:tr>
        <w:trPr>
          <w:trHeight w:val="270"/>
        </w:trPr>
        <w:tc>
          <w:tcPr>
            <w:tcW w:w="80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H2O America (Parent Only)</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1"/>
        </w:trPr>
        <w:tc>
          <w:tcPr>
            <w:tcW w:w="8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subsidiaries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1,877,922</w:t>
            </w:r>
          </w:p>
        </w:tc>
        <w:tc>
          <w:tcPr>
            <w:tcW w:w="20" w:type="dxa"/>
            <w:vAlign w:val="bottom"/>
          </w:tcPr>
          <w:p>
            <w:pPr>
              <w:spacing w:after="0"/>
              <w:rPr>
                <w:sz w:val="19"/>
                <w:szCs w:val="19"/>
                <w:color w:val="auto"/>
              </w:rPr>
            </w:pPr>
          </w:p>
        </w:tc>
      </w:tr>
      <w:tr>
        <w:trPr>
          <w:trHeight w:val="270"/>
        </w:trPr>
        <w:tc>
          <w:tcPr>
            <w:tcW w:w="8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Intercompany receivables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74,119</w:t>
            </w:r>
          </w:p>
        </w:tc>
        <w:tc>
          <w:tcPr>
            <w:tcW w:w="20" w:type="dxa"/>
            <w:vAlign w:val="bottom"/>
          </w:tcPr>
          <w:p>
            <w:pPr>
              <w:spacing w:after="0"/>
              <w:rPr>
                <w:sz w:val="19"/>
                <w:szCs w:val="19"/>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 w:type="dxa"/>
            <w:vAlign w:val="bottom"/>
          </w:tcPr>
          <w:p>
            <w:pPr>
              <w:spacing w:after="0"/>
              <w:rPr>
                <w:sz w:val="19"/>
                <w:szCs w:val="19"/>
                <w:color w:val="auto"/>
              </w:rPr>
            </w:pPr>
          </w:p>
        </w:tc>
      </w:tr>
      <w:tr>
        <w:trPr>
          <w:trHeight w:val="223"/>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78,075</w:t>
            </w:r>
          </w:p>
        </w:tc>
        <w:tc>
          <w:tcPr>
            <w:tcW w:w="20" w:type="dxa"/>
            <w:vAlign w:val="bottom"/>
          </w:tcPr>
          <w:p>
            <w:pPr>
              <w:spacing w:after="0"/>
              <w:rPr>
                <w:sz w:val="19"/>
                <w:szCs w:val="19"/>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9"/>
                <w:szCs w:val="19"/>
                <w:color w:val="auto"/>
              </w:rPr>
            </w:pPr>
          </w:p>
        </w:tc>
      </w:tr>
      <w:tr>
        <w:trPr>
          <w:trHeight w:val="223"/>
        </w:trPr>
        <w:tc>
          <w:tcPr>
            <w:tcW w:w="8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9"/>
                <w:szCs w:val="19"/>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1,956,219</w:t>
            </w:r>
          </w:p>
        </w:tc>
        <w:tc>
          <w:tcPr>
            <w:tcW w:w="20" w:type="dxa"/>
            <w:vAlign w:val="bottom"/>
          </w:tcPr>
          <w:p>
            <w:pPr>
              <w:spacing w:after="0"/>
              <w:rPr>
                <w:sz w:val="21"/>
                <w:szCs w:val="2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8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80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$0.001 par value; authorized 70,000,000 shares in 2025 and 2024; issued and outstanding</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36,118,242 shares in 2025 and 33,629,169 shares in 2024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20" w:type="dxa"/>
            <w:vAlign w:val="bottom"/>
          </w:tcPr>
          <w:p>
            <w:pPr>
              <w:spacing w:after="0"/>
              <w:rPr>
                <w:sz w:val="19"/>
                <w:szCs w:val="19"/>
                <w:color w:val="auto"/>
              </w:rPr>
            </w:pP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537,184</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 w:type="dxa"/>
            <w:vAlign w:val="bottom"/>
          </w:tcPr>
          <w:p>
            <w:pPr>
              <w:spacing w:after="0"/>
              <w:rPr>
                <w:sz w:val="19"/>
                <w:szCs w:val="19"/>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1,366,974</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557,430</w:t>
            </w:r>
          </w:p>
        </w:tc>
        <w:tc>
          <w:tcPr>
            <w:tcW w:w="20" w:type="dxa"/>
            <w:vAlign w:val="bottom"/>
          </w:tcPr>
          <w:p>
            <w:pPr>
              <w:spacing w:after="0"/>
              <w:rPr>
                <w:sz w:val="19"/>
                <w:szCs w:val="19"/>
                <w:color w:val="auto"/>
              </w:rPr>
            </w:pPr>
          </w:p>
        </w:tc>
      </w:tr>
      <w:tr>
        <w:trPr>
          <w:trHeight w:val="223"/>
        </w:trPr>
        <w:tc>
          <w:tcPr>
            <w:tcW w:w="8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capitalization</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2,098,603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1,924,404</w:t>
            </w:r>
          </w:p>
        </w:tc>
        <w:tc>
          <w:tcPr>
            <w:tcW w:w="20" w:type="dxa"/>
            <w:vAlign w:val="bottom"/>
          </w:tcPr>
          <w:p>
            <w:pPr>
              <w:spacing w:after="0"/>
              <w:rPr>
                <w:sz w:val="19"/>
                <w:szCs w:val="19"/>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 of credit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payables</w:t>
            </w:r>
          </w:p>
        </w:tc>
        <w:tc>
          <w:tcPr>
            <w:tcW w:w="38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0" w:type="dxa"/>
            <w:vAlign w:val="bottom"/>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0" w:type="dxa"/>
            <w:vAlign w:val="bottom"/>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20" w:type="dxa"/>
            <w:vAlign w:val="bottom"/>
          </w:tcPr>
          <w:p>
            <w:pPr>
              <w:spacing w:after="0"/>
              <w:rPr>
                <w:sz w:val="19"/>
                <w:szCs w:val="19"/>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19"/>
                <w:szCs w:val="19"/>
                <w:color w:val="auto"/>
              </w:rPr>
            </w:pPr>
          </w:p>
        </w:tc>
      </w:tr>
      <w:tr>
        <w:trPr>
          <w:trHeight w:val="223"/>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20" w:type="dxa"/>
            <w:vAlign w:val="bottom"/>
          </w:tcPr>
          <w:p>
            <w:pPr>
              <w:spacing w:after="0"/>
              <w:rPr>
                <w:sz w:val="19"/>
                <w:szCs w:val="19"/>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 w:type="dxa"/>
            <w:vAlign w:val="bottom"/>
          </w:tcPr>
          <w:p>
            <w:pPr>
              <w:spacing w:after="0"/>
              <w:rPr>
                <w:sz w:val="19"/>
                <w:szCs w:val="19"/>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2,151,813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1,956,219</w:t>
            </w:r>
          </w:p>
        </w:tc>
        <w:tc>
          <w:tcPr>
            <w:tcW w:w="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(Parent Only)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on intercompany notes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taxes and equity earnings from subsidiaries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earnings from subsidiaries, net of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95,808</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H2O America net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3"/>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H2O America 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85,301</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(Parent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102,578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84,987</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Earnings from investment in subsidiaries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(117,666)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(108,918)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Intercompany receivables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 payable and other accrued taxes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Return on capital from investments in subsidiaries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50,550</w:t>
            </w:r>
          </w:p>
        </w:tc>
        <w:tc>
          <w:tcPr>
            <w:tcW w:w="0" w:type="dxa"/>
            <w:vAlign w:val="bottom"/>
          </w:tcPr>
          <w:p>
            <w:pPr>
              <w:spacing w:after="0"/>
              <w:rPr>
                <w:sz w:val="1"/>
                <w:szCs w:val="1"/>
                <w:color w:val="auto"/>
              </w:rPr>
            </w:pPr>
          </w:p>
        </w:tc>
      </w:tr>
      <w:tr>
        <w:trPr>
          <w:trHeight w:val="232"/>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litigation settlement, net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changes,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38,570</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37,610</w:t>
            </w:r>
          </w:p>
        </w:tc>
        <w:tc>
          <w:tcPr>
            <w:tcW w:w="0" w:type="dxa"/>
            <w:vAlign w:val="bottom"/>
          </w:tcPr>
          <w:p>
            <w:pPr>
              <w:spacing w:after="0"/>
              <w:rPr>
                <w:sz w:val="1"/>
                <w:szCs w:val="1"/>
                <w:color w:val="auto"/>
              </w:rPr>
            </w:pPr>
          </w:p>
        </w:tc>
      </w:tr>
      <w:tr>
        <w:trPr>
          <w:trHeight w:val="19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to subsidiaries for notes receivable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(237,246)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(148,392)</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from subsidiaries for notes receivable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(84,037)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0" w:type="dxa"/>
            <w:vAlign w:val="bottom"/>
          </w:tcPr>
          <w:p>
            <w:pPr>
              <w:spacing w:after="0"/>
              <w:rPr>
                <w:sz w:val="1"/>
                <w:szCs w:val="1"/>
                <w:color w:val="auto"/>
              </w:rPr>
            </w:pPr>
          </w:p>
        </w:tc>
      </w:tr>
      <w:tr>
        <w:trPr>
          <w:trHeight w:val="207"/>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(112,698)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(101,373)</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(82,152)</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from subsidiaries for notes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to subsidiaries for notes payable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from lines of credit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lines of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122,808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80,659</w:t>
            </w:r>
          </w:p>
        </w:tc>
        <w:tc>
          <w:tcPr>
            <w:tcW w:w="0" w:type="dxa"/>
            <w:vAlign w:val="bottom"/>
          </w:tcPr>
          <w:p>
            <w:pPr>
              <w:spacing w:after="0"/>
              <w:rPr>
                <w:sz w:val="1"/>
                <w:szCs w:val="1"/>
                <w:color w:val="auto"/>
              </w:rPr>
            </w:pPr>
          </w:p>
        </w:tc>
      </w:tr>
      <w:tr>
        <w:trPr>
          <w:trHeight w:val="23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litigation settlement, net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(58,645)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0" w:type="dxa"/>
            <w:vAlign w:val="bottom"/>
          </w:tcPr>
          <w:p>
            <w:pPr>
              <w:spacing w:after="0"/>
              <w:rPr>
                <w:sz w:val="1"/>
                <w:szCs w:val="1"/>
                <w:color w:val="auto"/>
              </w:rPr>
            </w:pPr>
          </w:p>
        </w:tc>
      </w:tr>
      <w:tr>
        <w:trPr>
          <w:trHeight w:val="207"/>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(used in) by financing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72,997</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24,068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40,268</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0" w:type="dxa"/>
            <w:vAlign w:val="bottom"/>
          </w:tcPr>
          <w:p>
            <w:pPr>
              <w:spacing w:after="0"/>
              <w:rPr>
                <w:sz w:val="1"/>
                <w:szCs w:val="1"/>
                <w:color w:val="auto"/>
              </w:rPr>
            </w:pPr>
          </w:p>
        </w:tc>
      </w:tr>
      <w:tr>
        <w:trPr>
          <w:trHeight w:val="214"/>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year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0" w:type="dxa"/>
            <w:vAlign w:val="bottom"/>
          </w:tcPr>
          <w:p>
            <w:pPr>
              <w:spacing w:after="0"/>
              <w:rPr>
                <w:sz w:val="1"/>
                <w:szCs w:val="1"/>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(refunded) during the year for: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17,465</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from investment in subsidiaries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(Parent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“Lines of Credit” and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“Long-term Debt” for additional information on H2O America’s revolving credit facility and outstanding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H2O America’s schedule of principal payments on long-term debt: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Dividends and Other Distributions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H2O America is a legal entity separate and distinct from its various subsidiaries. As a holding company with no significant operations of its own, H2O America’s principal sources of funds are dividends or other distributions from its operating subsidiaries, borrowings and the issuance of equity. The rights of H2O America and, consequently, its creditors and shareholders, to participate in any distribution of assets of any of its subsidiaries are subject to certain prior claims of creditors of such subsidiary.</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abilities of certain of H2O America’s subsidiaries to transfer funds to H2O America in the form of cash dividends, loans or advances are subject to certain contractual and regulatory restrictions. H2O America and its subsidiaries are subject to debt covenants that could limit their respective abilities to pay dividends. For a discussion on these covenants,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“Long-term Debt” to H2O America and Subsidiaries Notes to Consolidated Financial Statements. In addition, CTWS and its regulated subsidiaries are prohibited from paying dividends if not in compliance with minimum equity requirements under commitments made by H2O America as part of the approval granted by the PURA and the Maine Public Utilities Commission in connection with the acquisition of CTWS.</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2025, the restricted net assets of H2O America’s subsidiaries were approximately $501,724 or 33% of consolidated net assets of H2O America.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 AND RESERVES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13"/>
                <w:szCs w:val="13"/>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(Credited) charged to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(Credited) charged to regulatory asset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written off</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Recoveries of accounts written off</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Reserve for litigation and claims: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Charged to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Revision to accrual, due to settlements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H2O America’s management, with the participation of its Chief Executive Officer and Chief Financial Officer, evaluated the effectiveness of H2O America’s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H2O America’s disclosure controls and procedures as of the end of the period covered by this report have been designed and are functioning effectively to provide reasonable assurance that the information required to be disclosed by H2O America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H2O America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H2O America’s management is responsible for establishing and maintaining an adequate internal control structure over financial reporting and for an assessment of the effectiveness of internal control over financial reporting, as such items are defined in Rule 13a-15(f) and 15d-15(f) under the Exchange Act.</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has utilized the criteria established in “Internal Control-Integrated Framework (2013)” issued by the Committee of Sponsoring Organizations of the Treadway Commission to evaluate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H2O America’s management has performed an assessment of the effectiveness of internal control over financial reporting as of December 31, 2025. Based on this assessment, management has concluded H2O America’s internal control over financial reporting as of December 31, 2025 was effective.</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DELOITTE &amp; TOUCHE LLP (PCAOB ID No. 34), has issued an auditors’ report on the effectiveness of our internal control over financial reporting, which is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report.</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fourth fiscal quarter of 2025 that has materially affected, or is reasonably likely to materially affect, the internal controls over financial reporting of H2O America.</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H2O America intends to post information about the operating and financial performance of H2O America and its subsidiaries on its website www.h2o-america.com from time to time. The content of H2O America’s website is not incorporated by reference to or part of this report.</w:t>
      </w:r>
    </w:p>
    <w:p>
      <w:pPr>
        <w:spacing w:after="0" w:line="54"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information that was required to be disclosed in a report on Form 8-K during the fourth quarter of 2025 but was not reported.</w:t>
      </w:r>
    </w:p>
    <w:p>
      <w:pPr>
        <w:spacing w:after="0" w:line="117"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quarter ended December 31, 2025,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Appointment of New Director</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25, 2026, the Board of Directors (the “Board”) of H2O America increased the size of the Board from nine to ten directors, effective as of March 1, 2026, and upon the recommendation of the Nominating and Governance Committee of the Board, appointed Nick O. Rowe to serve as a member of the Board, effective March 1, 2026. In connection with his appointment, the Board also appointed Mr. Rowe to serve as a member of each of the Board’s Sustainability Committee and Finance Committee.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Rowe is President of N.O.R. Solutions LLC, a leadership coaching and training firm. He previously served as Senior Vice President of American Water Works Company, Inc., where he was employed from September 1987 until his retirement in May 2022.</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his service as a non-employee director, Mr. Rowe will receive compensation and participate in the Company’s Second Amended and Restated Formulaic Equity Award Program for Non-Employee Board Members implemented under the Company’s 2023 Long-Term Incentive Plan, as described in the Company’s form 10-K filed with the Securities and Exchange Commission on February 28, 2025.</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the Company has entered into a director and officer indemnification agreement with Mr. Rowe in the form attached as Exhibit 10.1 to the Company’s Form 8-K filed with the SEC on November 15, 2016.</w:t>
      </w:r>
    </w:p>
    <w:p>
      <w:pPr>
        <w:spacing w:after="0" w:line="3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part under the caption “Executive Officers of the Registrant” in Part I, Item 1, of this report, and in H2O America’s Proxy Statement for its 2026 Annual Meeting of Stockholders (the “2026 Proxy Statement”) under the captions “PROPOSAL 1 ELECTION OF DIRECTORS,” and is incorporated herein by reference.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adopted the Insider Trading Policy of H2O America and its subsidiaries, which governs, among other things, the purchase, sale and/or other disposition of our securities by our directors, officers and employees, as well as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itself, that we believe is reasonably designed to promote compliance with insider trading laws, rules and regulations, and Nasdaq Global Market listing standards. A copy of the Insider Trading Policy is filed as Exhibit 19.1 to this Annual Report on Form 10-K.</w:t>
      </w:r>
    </w:p>
    <w:p>
      <w:pPr>
        <w:spacing w:after="0" w:line="18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2026 Proxy Statement under the captions “Compensation of Directors,” “EXECUTIVE COMPENSATION AND RELATED INFORMATION,” “Compensation Committee Interlocks and Insider Participation,” and “COMMITTEE REPORTS” and is incorporated herein by reference.</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2026 Proxy Statement under the captions “Security Ownership of Certain Beneficial Owners and Management” and “Securities Authorized for Issuance under Equity Compensation Plans” and is incorporated herein by reference.</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2026 Proxy Statement under the caption “CERTAIN RELATIONSHIPS AND RELATED TRANSACTIONS” and “Director Independence” and is incorporated herein by reference.</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2026 Proxy Statement under the caption “Principal Independent Accountants’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(a)(1)</w:t>
            </w:r>
          </w:p>
        </w:tc>
        <w:tc>
          <w:tcPr>
            <w:tcW w:w="9840" w:type="dxa"/>
            <w:vAlign w:val="bottom"/>
            <w:gridSpan w:val="9"/>
            <w:vMerge w:val="restart"/>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 w:type="dxa"/>
            <w:vAlign w:val="bottom"/>
            <w:gridSpan w:val="2"/>
            <w:vMerge w:val="continue"/>
          </w:tcPr>
          <w:p>
            <w:pPr>
              <w:spacing w:after="0"/>
              <w:rPr>
                <w:sz w:val="18"/>
                <w:szCs w:val="18"/>
                <w:color w:val="auto"/>
              </w:rPr>
            </w:pPr>
          </w:p>
        </w:tc>
        <w:tc>
          <w:tcPr>
            <w:tcW w:w="9840" w:type="dxa"/>
            <w:vAlign w:val="bottom"/>
            <w:gridSpan w:val="9"/>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5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2025, 2024 and 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69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1520" w:type="dxa"/>
            <w:vAlign w:val="bottom"/>
            <w:tcBorders>
              <w:top w:val="single" w:sz="8" w:color="0000FF"/>
            </w:tcBorders>
            <w:gridSpan w:val="4"/>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60" w:type="dxa"/>
            <w:vAlign w:val="bottom"/>
            <w:gridSpan w:val="8"/>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98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Financial Information for H2O America (Parent Only), Years ended December 31, 2025, 2024 and 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71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Valuation and Qualifying Accounts and Reserves, Years ended December 31, 2025, 2024 and 2023</w:t>
            </w:r>
          </w:p>
        </w:tc>
        <w:tc>
          <w:tcPr>
            <w:tcW w:w="1200" w:type="dxa"/>
            <w:vAlign w:val="bottom"/>
            <w:tcBorders>
              <w:top w:val="single" w:sz="8" w:color="0000FF"/>
            </w:tcBorders>
            <w:gridSpan w:val="2"/>
          </w:tcPr>
          <w:p>
            <w:pPr>
              <w:spacing w:after="0"/>
              <w:rPr>
                <w:sz w:val="22"/>
                <w:szCs w:val="22"/>
                <w:color w:val="auto"/>
              </w:rPr>
            </w:pPr>
          </w:p>
        </w:tc>
        <w:tc>
          <w:tcPr>
            <w:tcW w:w="1880" w:type="dxa"/>
            <w:vAlign w:val="bottom"/>
            <w:gridSpan w:val="2"/>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 required information is inapplicable or the information is presented in the consolidated financial statements or related notes.</w:t>
      </w:r>
    </w:p>
    <w:p>
      <w:pPr>
        <w:spacing w:after="0" w:line="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Exhibits required to be filed by Item 601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located immediately following this Item 15.</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exhibits filed herewith are attached hereto (except as noted) and those indicated on the Exhibit Index, which are not filed herewith, were previously filed with the Securities and Exchange Commission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2"/>
        </w:trPr>
        <w:tc>
          <w:tcPr>
            <w:tcW w:w="10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20" w:type="dxa"/>
            <w:vAlign w:val="bottom"/>
            <w:gridSpan w:val="26"/>
          </w:tcPr>
          <w:p>
            <w:pPr>
              <w:ind w:left="21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918"/>
        </w:trPr>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20" w:type="dxa"/>
            <w:vAlign w:val="bottom"/>
            <w:gridSpan w:val="26"/>
          </w:tcPr>
          <w:p>
            <w:pPr>
              <w:ind w:left="2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7"/>
        </w:trPr>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80" w:type="dxa"/>
            <w:vAlign w:val="bottom"/>
            <w:tcBorders>
              <w:top w:val="single" w:sz="8" w:color="auto"/>
            </w:tcBorders>
            <w:gridSpan w:val="3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Certificate of Amendment of the Certificate of Incorporation of SJW Group, dated May 5, 2025. Incorporated by</w:t>
              </w:r>
            </w:hyperlink>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reference to Exhibit 3.1 to Form 8-K filed on May 7, 2025</w:t>
              </w:r>
              <w:r>
                <w:rPr>
                  <w:rFonts w:ascii="Times New Roman" w:cs="Times New Roman" w:eastAsia="Times New Roman" w:hAnsi="Times New Roman"/>
                  <w:sz w:val="18"/>
                  <w:szCs w:val="18"/>
                  <w:color w:val="000000"/>
                </w:rPr>
                <w:t>.</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Amended and Restated Bylaws of H2O America. Incorporated by reference to Exhibit 3.2 to Form 10-Q filed on July</w:t>
              </w:r>
            </w:hyperlink>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28, 2025.</w:t>
              </w:r>
            </w:hyperlink>
          </w:p>
        </w:tc>
        <w:tc>
          <w:tcPr>
            <w:tcW w:w="7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Instruments Defining the Rights of Security Holders, including Indentures: H2O America hereby agrees to furnish</w:t>
            </w:r>
          </w:p>
        </w:tc>
      </w:tr>
      <w:tr>
        <w:trPr>
          <w:trHeight w:val="184"/>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30"/>
          </w:tcPr>
          <w:p>
            <w:pPr>
              <w:spacing w:after="0" w:line="184" w:lineRule="exact"/>
              <w:rPr>
                <w:sz w:val="20"/>
                <w:szCs w:val="20"/>
                <w:color w:val="auto"/>
              </w:rPr>
            </w:pPr>
            <w:r>
              <w:rPr>
                <w:rFonts w:ascii="Times New Roman" w:cs="Times New Roman" w:eastAsia="Times New Roman" w:hAnsi="Times New Roman"/>
                <w:sz w:val="18"/>
                <w:szCs w:val="18"/>
                <w:color w:val="auto"/>
              </w:rPr>
              <w:t>upon request to the Commission a copy of each such instrument defining the rights of holders of unregistered senior</w:t>
            </w:r>
          </w:p>
        </w:tc>
      </w:tr>
      <w:tr>
        <w:trPr>
          <w:trHeight w:val="234"/>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and subordinated debt of H2O America.</w:t>
            </w:r>
          </w:p>
        </w:tc>
      </w:tr>
      <w:tr>
        <w:trPr>
          <w:trHeight w:val="33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Indenture dated as of June 1, 2010 between San Jose Water Company and Wells Fargo Bank, National Association.</w:t>
              </w:r>
            </w:hyperlink>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Incorporated by reference to Exhibit 4.1 to Form 10-Q for the quarter ended June 30, 2010</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Indenture dated as of December 1, 2016, by and between California Pollution Control Financing Authority and The</w:t>
            </w:r>
          </w:p>
        </w:tc>
      </w:tr>
      <w:tr>
        <w:trPr>
          <w:trHeight w:val="184"/>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30"/>
          </w:tcPr>
          <w:p>
            <w:pPr>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relating to the Bond. SJW Group agrees to furnish to the</w:t>
            </w:r>
          </w:p>
        </w:tc>
      </w:tr>
      <w:tr>
        <w:trPr>
          <w:trHeight w:val="180"/>
        </w:trPr>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gridSpan w:val="30"/>
          </w:tcPr>
          <w:p>
            <w:pPr>
              <w:spacing w:after="0" w:line="181" w:lineRule="exact"/>
              <w:rPr>
                <w:sz w:val="20"/>
                <w:szCs w:val="20"/>
                <w:color w:val="auto"/>
              </w:rPr>
            </w:pPr>
            <w:r>
              <w:rPr>
                <w:rFonts w:ascii="Times New Roman" w:cs="Times New Roman" w:eastAsia="Times New Roman" w:hAnsi="Times New Roman"/>
                <w:sz w:val="18"/>
                <w:szCs w:val="18"/>
                <w:color w:val="auto"/>
              </w:rPr>
              <w:t>Commission upon request a copy of such agreement which it has elected not to file under the provisions of</w:t>
            </w:r>
          </w:p>
        </w:tc>
      </w:tr>
      <w:tr>
        <w:trPr>
          <w:trHeight w:val="234"/>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Regulation S-K 601(b)(4)(iii).</w:t>
            </w:r>
          </w:p>
        </w:tc>
      </w:tr>
      <w:tr>
        <w:trPr>
          <w:trHeight w:val="33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Description of H2O America’s capital stock registered under section 12 of the Securities Exchange Act of 1934.</w:t>
              </w:r>
            </w:hyperlink>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to Exhibit 4.5 to Form 10-K for the year ended December 31, 2024.</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Water Supply Contract dated January 27, 1981, between San Jose Water Works and the Santa Clara Valley</w:t>
              </w:r>
            </w:hyperlink>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Water District, as amended. Incorporated by reference to Exhibit 10.1 to Form 10-K for the year ended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December 31, 2001</w:t>
              </w:r>
              <w:r>
                <w:rPr>
                  <w:rFonts w:ascii="Times New Roman" w:cs="Times New Roman" w:eastAsia="Times New Roman" w:hAnsi="Times New Roman"/>
                  <w:sz w:val="18"/>
                  <w:szCs w:val="18"/>
                  <w:color w:val="000000"/>
                </w:rPr>
                <w:t>.</w:t>
              </w:r>
            </w:hyperlink>
          </w:p>
        </w:tc>
        <w:tc>
          <w:tcPr>
            <w:tcW w:w="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Credit Agreement, dated September 12, 2025, between H2O America, San Jose Water Company, SJWTX, Inc., The</w:t>
              </w:r>
            </w:hyperlink>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Connecticut Water Company, and The Maine Water Company, JPMorgan Chase Bank, N.A., as administrative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80" w:type="dxa"/>
            <w:vAlign w:val="bottom"/>
            <w:gridSpan w:val="27"/>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and a lender, and Wells Fargo Bank, National Association, as Administrative Agent, and the other lenders party</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thereto. Incorporated by reference to Exhibit 10.1 to Form 8-K filed on September 16, 2025.</w:t>
              </w:r>
            </w:hyperlink>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Loan Agreement dated as of June 1, 2010 between the California Pollution Control Financing Authority and San Jose</w:t>
              </w:r>
            </w:hyperlink>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Water Company. Incorporated by reference to Exhibit 10.3 to Form 10-Q for the quarter ended June 30, 2010</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Grantor Trust Agreement by and between San Jose Water Company and Wells Fargo Bank, National Association</w:t>
              </w:r>
            </w:hyperlink>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30"/>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dated November 2, 2012. Incorporated by reference as Exhibit 10.4 to Form 10-K for the year ended December 31,</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2012</w:t>
              </w:r>
              <w:r>
                <w:rPr>
                  <w:rFonts w:ascii="Times New Roman" w:cs="Times New Roman" w:eastAsia="Times New Roman" w:hAnsi="Times New Roman"/>
                  <w:sz w:val="18"/>
                  <w:szCs w:val="18"/>
                  <w:color w:val="000000"/>
                </w:rPr>
                <w:t>.</w:t>
              </w:r>
            </w:hyperlink>
          </w:p>
        </w:tc>
        <w:tc>
          <w:tcPr>
            <w:tcW w:w="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74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Loan Agreement dated as of December 1, 2016 between the California Pollution Control Financing Authority and</w:t>
              </w:r>
            </w:hyperlink>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30"/>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San Jose Water Company. Incorporated by reference to Exhibit 10.7 to Form 10-K for the year ended December 31,</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2016</w:t>
              </w:r>
              <w:r>
                <w:rPr>
                  <w:rFonts w:ascii="Times New Roman" w:cs="Times New Roman" w:eastAsia="Times New Roman" w:hAnsi="Times New Roman"/>
                  <w:sz w:val="18"/>
                  <w:szCs w:val="18"/>
                  <w:color w:val="000000"/>
                </w:rPr>
                <w:t>.</w:t>
              </w:r>
            </w:hyperlink>
          </w:p>
        </w:tc>
        <w:tc>
          <w:tcPr>
            <w:tcW w:w="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74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Bond Purchase Contract dated June 9, 2010 among Goldman, Sachs &amp; Co., the Honorable Bill Lockyer, Treasurer of</w:t>
              </w:r>
            </w:hyperlink>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the State of California, the California Pollution Control Financing Authority and San Jose Water Company.</w:t>
              </w:r>
            </w:hyperlink>
          </w:p>
        </w:tc>
        <w:tc>
          <w:tcPr>
            <w:tcW w:w="60" w:type="dxa"/>
            <w:vAlign w:val="bottom"/>
            <w:gridSpan w:val="2"/>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Incorporated by reference to Exhibit 10.4 to Form 10-Q for the quarter ended June 30, 2010.</w:t>
              </w:r>
            </w:hyperlink>
          </w:p>
        </w:tc>
        <w:tc>
          <w:tcPr>
            <w:tcW w:w="106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3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Bond Purchase Contract dated December 15, 2016 among Morgan Stanley &amp; Co. LLC, RBC Capital Markets, LLC,</w:t>
              </w:r>
            </w:hyperlink>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the Honorable John Chiang, Treasurer of the State of California, the California Pollution Control Financing</w:t>
              </w:r>
            </w:hyperlink>
          </w:p>
        </w:tc>
        <w:tc>
          <w:tcPr>
            <w:tcW w:w="62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80" w:type="dxa"/>
            <w:vAlign w:val="bottom"/>
            <w:gridSpan w:val="30"/>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Authority and San Jose Water Company. Incorporated by reference to Exhibit 10.9 to Form 10-K for the year ended</w:t>
              </w:r>
            </w:hyperlink>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December 31, 2016.</w:t>
              </w:r>
            </w:hyperlink>
          </w:p>
        </w:tc>
        <w:tc>
          <w:tcPr>
            <w:tcW w:w="160" w:type="dxa"/>
            <w:vAlign w:val="bottom"/>
            <w:gridSpan w:val="6"/>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Note Agreement between SJW Corp. and the Prudential Insurance Company of America, dated June 30, 2011.</w:t>
              </w:r>
            </w:hyperlink>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as Exhibit 10.3 to Form 8-K filed on July 7, 2011</w:t>
              </w:r>
              <w:r>
                <w:rPr>
                  <w:rFonts w:ascii="Times New Roman" w:cs="Times New Roman" w:eastAsia="Times New Roman" w:hAnsi="Times New Roman"/>
                  <w:sz w:val="18"/>
                  <w:szCs w:val="18"/>
                  <w:color w:val="000000"/>
                </w:rPr>
                <w:t>.</w:t>
              </w:r>
            </w:hyperlink>
          </w:p>
        </w:tc>
        <w:tc>
          <w:tcPr>
            <w:tcW w:w="340" w:type="dxa"/>
            <w:vAlign w:val="bottom"/>
            <w:gridSpan w:val="6"/>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2820" w:type="dxa"/>
            <w:vAlign w:val="bottom"/>
            <w:gridSpan w:val="1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7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gridSpan w:val="3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Note Agreement between San Jose Water Company and John Hancock Life Insurance Company (U.S.A.) and John</w:t>
              </w:r>
            </w:hyperlink>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Hancock Life Insurance Company of New York, dated January 24, 2014. Incorporated by reference as Exhibit 10.1</w:t>
              </w:r>
            </w:hyperlink>
          </w:p>
        </w:tc>
        <w:tc>
          <w:tcPr>
            <w:tcW w:w="20" w:type="dxa"/>
            <w:vAlign w:val="bottom"/>
            <w:tcBorders>
              <w:bottom w:val="single" w:sz="8" w:color="0000FF"/>
            </w:tcBorders>
          </w:tcPr>
          <w:p>
            <w:pPr>
              <w:spacing w:after="0"/>
              <w:rPr>
                <w:sz w:val="13"/>
                <w:szCs w:val="13"/>
                <w:color w:val="auto"/>
              </w:rPr>
            </w:pPr>
          </w:p>
        </w:tc>
        <w:tc>
          <w:tcPr>
            <w:tcW w:w="180" w:type="dxa"/>
            <w:vAlign w:val="bottom"/>
            <w:gridSpan w:val="7"/>
          </w:tcPr>
          <w:p>
            <w:pPr>
              <w:spacing w:after="0"/>
              <w:rPr>
                <w:sz w:val="13"/>
                <w:szCs w:val="13"/>
                <w:color w:val="auto"/>
              </w:rPr>
            </w:pPr>
          </w:p>
        </w:tc>
      </w:tr>
    </w:tbl>
    <w:p>
      <w:pPr>
        <w:ind w:left="13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u w:val="single" w:color="auto"/>
            <w:color w:val="0000FF"/>
          </w:rPr>
          <w:t>to Form 8-K filed on January 29, 2014</w:t>
        </w:r>
        <w:r>
          <w:rPr>
            <w:rFonts w:ascii="Times New Roman" w:cs="Times New Roman" w:eastAsia="Times New Roman" w:hAnsi="Times New Roman"/>
            <w:sz w:val="18"/>
            <w:szCs w:val="18"/>
            <w:color w:val="000000"/>
          </w:rPr>
          <w:t>.</w:t>
        </w:r>
      </w:hyperlink>
    </w:p>
    <w:p>
      <w:pPr>
        <w:sectPr>
          <w:pgSz w:w="11900" w:h="16838" w:orient="portrait"/>
          <w:cols w:equalWidth="0" w:num="1">
            <w:col w:w="10139"/>
          </w:cols>
          <w:pgMar w:left="3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Note Purchase Agreement among San Jose Water Company and certain affiliates of MetLife, Inc., Brighthouse</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500" w:type="dxa"/>
            <w:vAlign w:val="bottom"/>
            <w:gridSpan w:val="3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Financial, Inc. and New York Life Insurance Company, dated March 28, 2019. Incorporated by reference to Exhibit</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3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on March 28, 2019</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Note Purchase Agreement among SJW Group and Purchasers listed therein, dated October 8, 2019, along with the</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forms of senior notes. Incorporated by reference to Exhibit 10.1 to the Form 8-K filed on October 9, 2019</w:t>
              </w:r>
              <w:r>
                <w:rPr>
                  <w:rFonts w:ascii="Times New Roman" w:cs="Times New Roman" w:eastAsia="Times New Roman" w:hAnsi="Times New Roman"/>
                  <w:sz w:val="18"/>
                  <w:szCs w:val="18"/>
                  <w:color w:val="00B05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24"/>
                <w:szCs w:val="24"/>
                <w:color w:val="auto"/>
              </w:rPr>
            </w:pPr>
          </w:p>
        </w:tc>
        <w:tc>
          <w:tcPr>
            <w:tcW w:w="83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San Jose Water Company Executive Supplemental Retirement Plan, as Amended and Restated on January 25, 2012,</w:t>
              </w:r>
            </w:hyperlink>
          </w:p>
        </w:tc>
        <w:tc>
          <w:tcPr>
            <w:tcW w:w="140" w:type="dxa"/>
            <w:vAlign w:val="bottom"/>
            <w:gridSpan w:val="7"/>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500" w:type="dxa"/>
            <w:vAlign w:val="bottom"/>
            <w:gridSpan w:val="33"/>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effective January 1, 2012. Incorporated by reference as Exhibit 10.20 to Form 10-K for the year ended December 31,</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2011</w:t>
              </w:r>
              <w:r>
                <w:rPr>
                  <w:rFonts w:ascii="Times New Roman" w:cs="Times New Roman" w:eastAsia="Times New Roman" w:hAnsi="Times New Roman"/>
                  <w:sz w:val="18"/>
                  <w:szCs w:val="18"/>
                  <w:color w:val="000000"/>
                </w:rPr>
                <w:t>. (2)</w:t>
              </w:r>
            </w:hyperlink>
          </w:p>
        </w:tc>
        <w:tc>
          <w:tcPr>
            <w:tcW w:w="9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First Amendment to the San Jose Water Company Executive Supplemental Retirement Plan effective November 15,</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2016. Incorporated by reference to Exhibit 10.14 to the Form 10-K for the year ended December 31,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Amendment to the San Jose Water Company Executive Supplemental Retirement Plan effective October 9,</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2019. Incorporated by reference to Exhibit 10.5 to the Form 8-K filed on October 9,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24"/>
                <w:szCs w:val="24"/>
                <w:color w:val="auto"/>
              </w:rPr>
            </w:pPr>
          </w:p>
        </w:tc>
        <w:tc>
          <w:tcPr>
            <w:tcW w:w="85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Third Amendment to the San Jose Water Company Executive Supplemental Retirement Plan effective January 1,</w:t>
            </w:r>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2026. (1) (2)</w:t>
            </w:r>
            <w:r>
              <w:rPr>
                <w:rFonts w:ascii="Times New Roman" w:cs="Times New Roman" w:eastAsia="Times New Roman" w:hAnsi="Times New Roman"/>
                <w:sz w:val="18"/>
                <w:szCs w:val="18"/>
                <w:color w:val="000000"/>
              </w:rPr>
              <w:t>.</w:t>
            </w:r>
          </w:p>
        </w:tc>
        <w:tc>
          <w:tcPr>
            <w:tcW w:w="120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24"/>
                <w:szCs w:val="24"/>
                <w:color w:val="auto"/>
              </w:rPr>
            </w:pPr>
          </w:p>
        </w:tc>
        <w:tc>
          <w:tcPr>
            <w:tcW w:w="80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San Jose Water Company Cash Balance Executive Supplemental Retirement Plan, as Amended and Restated on</w:t>
              </w:r>
            </w:hyperlink>
          </w:p>
        </w:tc>
        <w:tc>
          <w:tcPr>
            <w:tcW w:w="440" w:type="dxa"/>
            <w:vAlign w:val="bottom"/>
            <w:gridSpan w:val="17"/>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500" w:type="dxa"/>
            <w:vAlign w:val="bottom"/>
            <w:gridSpan w:val="33"/>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January 25, 2012, effective January 1, 2012. Incorporated by reference as Exhibit 10.23 to Form 10-K for the year</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ended December 31, 2011</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First Amendment to the San Jose Water Company Cash Balance Executive Supplemental Retirement Plan effective</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as of October 30, 2013. Incorporated by reference as Exhibit 10.15 to Form 10-K for the year ended December 31,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2013</w:t>
              </w:r>
              <w:r>
                <w:rPr>
                  <w:rFonts w:ascii="Times New Roman" w:cs="Times New Roman" w:eastAsia="Times New Roman" w:hAnsi="Times New Roman"/>
                  <w:sz w:val="18"/>
                  <w:szCs w:val="18"/>
                  <w:color w:val="000000"/>
                </w:rPr>
                <w:t>. (2)</w:t>
              </w:r>
            </w:hyperlink>
          </w:p>
        </w:tc>
        <w:tc>
          <w:tcPr>
            <w:tcW w:w="9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Amendment to the San Jose Water Company Cash Balance Executive Supplemental Retirement Plan</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effective as of January 31, 2014. Incorporated by reference as Exhibit 10.2 to Form 8-K filed on January 30,</w:t>
              </w:r>
            </w:hyperlink>
          </w:p>
        </w:tc>
        <w:tc>
          <w:tcPr>
            <w:tcW w:w="420" w:type="dxa"/>
            <w:vAlign w:val="bottom"/>
            <w:gridSpan w:val="9"/>
          </w:tcPr>
          <w:p>
            <w:pPr>
              <w:jc w:val="right"/>
              <w:ind w:right="20"/>
              <w:spacing w:after="0" w:line="156" w:lineRule="exact"/>
              <w:rPr>
                <w:rFonts w:ascii="Times New Roman" w:cs="Times New Roman" w:eastAsia="Times New Roman" w:hAnsi="Times New Roman"/>
                <w:sz w:val="18"/>
                <w:szCs w:val="18"/>
                <w:color w:val="0000FF"/>
                <w:w w:val="93"/>
              </w:rPr>
            </w:pPr>
            <w:hyperlink r:id="rId145">
              <w:r>
                <w:rPr>
                  <w:rFonts w:ascii="Times New Roman" w:cs="Times New Roman" w:eastAsia="Times New Roman" w:hAnsi="Times New Roman"/>
                  <w:sz w:val="18"/>
                  <w:szCs w:val="18"/>
                  <w:color w:val="0000FF"/>
                  <w:w w:val="93"/>
                </w:rPr>
                <w:t>2014</w:t>
              </w:r>
            </w:hyperlink>
            <w:r>
              <w:rPr>
                <w:rFonts w:ascii="Times New Roman" w:cs="Times New Roman" w:eastAsia="Times New Roman" w:hAnsi="Times New Roman"/>
                <w:sz w:val="18"/>
                <w:szCs w:val="18"/>
                <w:color w:val="000000"/>
                <w:w w:val="93"/>
              </w:rPr>
              <w:t>.</w:t>
            </w: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8"/>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1200" w:type="dxa"/>
            <w:vAlign w:val="bottom"/>
            <w:tcBorders>
              <w:top w:val="single" w:sz="8" w:color="0000FF"/>
            </w:tcBorders>
          </w:tcPr>
          <w:p>
            <w:pPr>
              <w:spacing w:after="0"/>
              <w:rPr>
                <w:sz w:val="19"/>
                <w:szCs w:val="19"/>
                <w:color w:val="auto"/>
              </w:rPr>
            </w:pPr>
          </w:p>
        </w:tc>
        <w:tc>
          <w:tcPr>
            <w:tcW w:w="18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Third Amendment to the San Jose Water Company Cash Balance Executive Supplemental Retirement Plan effective</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November 15, 2016. Incorporated by reference to Exhibit 10.18 to Form 10-K for the year ended December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2016</w:t>
              </w:r>
              <w:r>
                <w:rPr>
                  <w:rFonts w:ascii="Times New Roman" w:cs="Times New Roman" w:eastAsia="Times New Roman" w:hAnsi="Times New Roman"/>
                  <w:sz w:val="18"/>
                  <w:szCs w:val="18"/>
                  <w:color w:val="000000"/>
                </w:rPr>
                <w:t>. (2)</w:t>
              </w:r>
            </w:hyperlink>
          </w:p>
        </w:tc>
        <w:tc>
          <w:tcPr>
            <w:tcW w:w="9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Fourth Amendment to the San Jose Water Company Cash Balance Executive Supplemental Retirement Plan effective</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November 6, 2017. Incorporated by reference to Exhibit 10.5 to the Form 10-Q for the quarter ended September 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2017</w:t>
              </w:r>
              <w:r>
                <w:rPr>
                  <w:rFonts w:ascii="Times New Roman" w:cs="Times New Roman" w:eastAsia="Times New Roman" w:hAnsi="Times New Roman"/>
                  <w:sz w:val="18"/>
                  <w:szCs w:val="18"/>
                  <w:color w:val="000000"/>
                </w:rPr>
                <w:t>. (2)</w:t>
              </w:r>
            </w:hyperlink>
          </w:p>
        </w:tc>
        <w:tc>
          <w:tcPr>
            <w:tcW w:w="9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Fifth Amendment to the San Jose Water Company Cash Balance Executive Supplemental Retirement Plan effective</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October 24, 2018. Incorporated by reference as Exhibit 10.21 to Form 10-K for the year ended December 31, 2018</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8"/>
        </w:trPr>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1200" w:type="dxa"/>
            <w:vAlign w:val="bottom"/>
            <w:tcBorders>
              <w:top w:val="single" w:sz="8" w:color="0000FF"/>
            </w:tcBorders>
          </w:tcPr>
          <w:p>
            <w:pPr>
              <w:spacing w:after="0"/>
              <w:rPr>
                <w:sz w:val="19"/>
                <w:szCs w:val="19"/>
                <w:color w:val="auto"/>
              </w:rPr>
            </w:pPr>
          </w:p>
        </w:tc>
        <w:tc>
          <w:tcPr>
            <w:tcW w:w="18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Sixth Amendment to the San Jose Water Company Cash Balance Executive Supplemental Retirement Plan effective</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October 9, 2019. Incorporated by reference as Exhibit 10.4 to Form 8-K filed on October 9, 2019</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30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0" w:type="dxa"/>
            <w:vAlign w:val="bottom"/>
          </w:tcPr>
          <w:p>
            <w:pPr>
              <w:spacing w:after="0"/>
              <w:rPr>
                <w:sz w:val="24"/>
                <w:szCs w:val="24"/>
                <w:color w:val="auto"/>
              </w:rPr>
            </w:pPr>
          </w:p>
        </w:tc>
        <w:tc>
          <w:tcPr>
            <w:tcW w:w="85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Seventh Amendment to the San Jose Water Company Cash Balance Executive Supplemental Retirement Plan</w:t>
            </w:r>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effective January 1, 2026. </w:t>
            </w:r>
            <w:r>
              <w:rPr>
                <w:rFonts w:ascii="Times New Roman" w:cs="Times New Roman" w:eastAsia="Times New Roman" w:hAnsi="Times New Roman"/>
                <w:sz w:val="18"/>
                <w:szCs w:val="18"/>
                <w:color w:val="000000"/>
              </w:rPr>
              <w:t>(1)(2)</w:t>
            </w:r>
          </w:p>
        </w:tc>
        <w:tc>
          <w:tcPr>
            <w:tcW w:w="100" w:type="dxa"/>
            <w:vAlign w:val="bottom"/>
          </w:tcPr>
          <w:p>
            <w:pPr>
              <w:spacing w:after="0"/>
              <w:rPr>
                <w:sz w:val="13"/>
                <w:szCs w:val="13"/>
                <w:color w:val="auto"/>
              </w:rPr>
            </w:pPr>
          </w:p>
        </w:tc>
        <w:tc>
          <w:tcPr>
            <w:tcW w:w="44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SJW Corp. Long-Term Incentive Plan, as amended and restated on July 29, 2015. Incorporated by reference as</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9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Exhibit 10.1 to Form 10-Q filed for the quarter ended September 30, 2015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w:t>
            </w:r>
          </w:p>
        </w:tc>
        <w:tc>
          <w:tcPr>
            <w:tcW w:w="44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First Amendment to the SJW Group Long-Term Incentive Plan dated November 15, 2016. Incorporated by reference</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Exhibit 10.21 to Form 10-K for the year ended December 31,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00" w:type="dxa"/>
            <w:vAlign w:val="bottom"/>
            <w:gridSpan w:val="2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Amendment to the SJW Group Long-Term Incentive Plan dated October 28, 2020. Incorporated by reference</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as Exhibit 10.1 to Form 10-Q filed for the quarter ended September 30, 2020</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94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0" w:type="dxa"/>
            <w:vAlign w:val="bottom"/>
          </w:tcPr>
          <w:p>
            <w:pPr>
              <w:spacing w:after="0"/>
              <w:rPr>
                <w:sz w:val="24"/>
                <w:szCs w:val="24"/>
                <w:color w:val="auto"/>
              </w:rPr>
            </w:pPr>
          </w:p>
        </w:tc>
        <w:tc>
          <w:tcPr>
            <w:tcW w:w="8500" w:type="dxa"/>
            <w:vAlign w:val="bottom"/>
            <w:gridSpan w:val="3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Third Amendment to the SJW Group Long-Term Incentive Plan dated January 28, 2021. Incorporated by reference to</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 xml:space="preserve">Exhibit 10.31 to Form 10-K for the year ended December 31, 2020. </w:t>
              </w:r>
              <w:r>
                <w:rPr>
                  <w:rFonts w:ascii="Times New Roman" w:cs="Times New Roman" w:eastAsia="Times New Roman" w:hAnsi="Times New Roman"/>
                  <w:sz w:val="18"/>
                  <w:szCs w:val="18"/>
                  <w:color w:val="000000"/>
                </w:rPr>
                <w:t>(2)</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0" w:type="dxa"/>
            <w:vAlign w:val="bottom"/>
          </w:tcPr>
          <w:p>
            <w:pPr>
              <w:spacing w:after="0"/>
              <w:rPr>
                <w:sz w:val="24"/>
                <w:szCs w:val="24"/>
                <w:color w:val="auto"/>
              </w:rPr>
            </w:pPr>
          </w:p>
        </w:tc>
        <w:tc>
          <w:tcPr>
            <w:tcW w:w="81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Employment Agreement of Mr. Eric W. Thornburg dated September 26, 2017, together with Exhibit A (Form of</w:t>
              </w:r>
            </w:hyperlink>
          </w:p>
        </w:tc>
        <w:tc>
          <w:tcPr>
            <w:tcW w:w="380" w:type="dxa"/>
            <w:vAlign w:val="bottom"/>
            <w:gridSpan w:val="15"/>
          </w:tcPr>
          <w:p>
            <w:pPr>
              <w:spacing w:after="0"/>
              <w:rPr>
                <w:sz w:val="24"/>
                <w:szCs w:val="24"/>
                <w:color w:val="auto"/>
              </w:rPr>
            </w:pPr>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3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Restricted Stock Unit Issuance Agreement - Initial Time-Based Grant), Exhibit B (Form of Restricted Stock Issuance</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Agreement - Special Time-Based Grant), and Exhibit C (Form of Confidential Settlement Agreement and Release).</w:t>
              </w:r>
            </w:hyperlink>
          </w:p>
        </w:tc>
        <w:tc>
          <w:tcPr>
            <w:tcW w:w="20" w:type="dxa"/>
            <w:vAlign w:val="bottom"/>
          </w:tcPr>
          <w:p>
            <w:pPr>
              <w:spacing w:after="0"/>
              <w:rPr>
                <w:sz w:val="14"/>
                <w:szCs w:val="14"/>
                <w:color w:val="auto"/>
              </w:rPr>
            </w:pPr>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10.3 to Form 10-Q for the quarter ended September 30, 2017</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dated December 31, 2019, to the Employment Agreement of Eric W. Thornburg dated September</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26, 2017. Incorporated by reference to Exhibit 10.1 to the Form 8-K filed on January 7, 2020</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 xml:space="preserve">Amended and Restated H2O America Executive Officer Short-Term Incentive Plan, effective October </w:t>
              </w:r>
            </w:hyperlink>
            <w:r>
              <w:rPr>
                <w:rFonts w:ascii="Times New Roman" w:cs="Times New Roman" w:eastAsia="Times New Roman" w:hAnsi="Times New Roman"/>
                <w:sz w:val="18"/>
                <w:szCs w:val="18"/>
                <w:color w:val="0000FF"/>
              </w:rPr>
              <w:t xml:space="preserve">24, </w:t>
            </w:r>
            <w:hyperlink r:id="rId157">
              <w:r>
                <w:rPr>
                  <w:rFonts w:ascii="Times New Roman" w:cs="Times New Roman" w:eastAsia="Times New Roman" w:hAnsi="Times New Roman"/>
                  <w:sz w:val="18"/>
                  <w:szCs w:val="18"/>
                  <w:color w:val="0000FF"/>
                </w:rPr>
                <w:t>2025.</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 xml:space="preserve">Incorporated by </w:t>
              </w:r>
            </w:hyperlink>
            <w:r>
              <w:rPr>
                <w:rFonts w:ascii="Times New Roman" w:cs="Times New Roman" w:eastAsia="Times New Roman" w:hAnsi="Times New Roman"/>
                <w:sz w:val="18"/>
                <w:szCs w:val="18"/>
                <w:color w:val="0000FF"/>
                <w:w w:val="99"/>
              </w:rPr>
              <w:t xml:space="preserve">reference </w:t>
            </w:r>
            <w:hyperlink r:id="rId157">
              <w:r>
                <w:rPr>
                  <w:rFonts w:ascii="Times New Roman" w:cs="Times New Roman" w:eastAsia="Times New Roman" w:hAnsi="Times New Roman"/>
                  <w:sz w:val="18"/>
                  <w:szCs w:val="18"/>
                  <w:color w:val="0000FF"/>
                  <w:w w:val="99"/>
                </w:rPr>
                <w:t>to Exhibit 10.2 to Form 10-Q for the quarter ended September 30, 2025.</w:t>
              </w:r>
            </w:hyperlink>
          </w:p>
        </w:tc>
        <w:tc>
          <w:tcPr>
            <w:tcW w:w="9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Executive Severance Plan dated October 26, 2022. Incorporated by reference as Exhibit 10.1</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to Form 8-K filed on October 28, 2022</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San Jose Water Company Special Deferral Election Plan, as amended and restated, effective January 1, 2013.</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as Exhibit 10.36 to Form 10-K for the year ended December 31, 2012</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First Amendment to the Special Deferral Election Plan effective November 15, 2016. Incorporated by reference as</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Exhibit 10.37 to Form 10-K for the year ended December 31,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SJW Corp. Amended and Restated Deferred Restricted Stock Program, effective January 1, 2008. Incorporated by</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reference as Exhibit 10.1 to Form 10-Q for the quarter ended March 31, 2008</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First Amendment to the Amended and Restated Deferred Restricted Stock Program dated November 15, 2016.</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Incorporated by reference as Exhibit 10.39 to Form 10-K for the year ended December 31, 2016</w:t>
              </w:r>
              <w:r>
                <w:rPr>
                  <w:rFonts w:ascii="Times New Roman" w:cs="Times New Roman" w:eastAsia="Times New Roman" w:hAnsi="Times New Roman"/>
                  <w:sz w:val="18"/>
                  <w:szCs w:val="18"/>
                  <w:color w:val="000000"/>
                </w:rPr>
                <w:t>. (2)</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SJW Group Deferral Election Program for Non-Employee Board Members as amended and restated effective</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February 26, 2025. Incorporated by reference to Exhibit 10.36 to Form 10-K for the year ended December 31,</w:t>
              </w:r>
            </w:hyperlink>
          </w:p>
        </w:tc>
        <w:tc>
          <w:tcPr>
            <w:tcW w:w="560" w:type="dxa"/>
            <w:vAlign w:val="bottom"/>
            <w:gridSpan w:val="18"/>
          </w:tcPr>
          <w:p>
            <w:pPr>
              <w:jc w:val="center"/>
              <w:ind w:right="40"/>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2024.</w:t>
              </w:r>
            </w:hyperlink>
          </w:p>
        </w:tc>
        <w:tc>
          <w:tcPr>
            <w:tcW w:w="4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63">
              <w:r>
                <w:rPr>
                  <w:rFonts w:ascii="Times New Roman" w:cs="Times New Roman" w:eastAsia="Times New Roman" w:hAnsi="Times New Roman"/>
                  <w:sz w:val="18"/>
                  <w:szCs w:val="18"/>
                  <w:color w:val="0000FF"/>
                  <w:w w:val="95"/>
                </w:rPr>
                <w:t>(2)</w:t>
              </w:r>
            </w:hyperlink>
          </w:p>
        </w:tc>
        <w:tc>
          <w:tcPr>
            <w:tcW w:w="2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SJW Group Restricted Stock Unit Award Agreement for Non-Employee Board Members. Incorporated by</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reference as Exhibit 10.1 to Form 10-Q for the quarter ended June 30, 2017</w:t>
              </w:r>
              <w:r>
                <w:rPr>
                  <w:rFonts w:ascii="Times New Roman" w:cs="Times New Roman" w:eastAsia="Times New Roman" w:hAnsi="Times New Roman"/>
                  <w:sz w:val="18"/>
                  <w:szCs w:val="18"/>
                  <w:color w:val="000000"/>
                </w:rPr>
                <w:t>. (2)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SJW Group Restricted Stock Unit Issuance Agreement (TSR Goals). Incorporated by reference to Exhibit</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r>
                <w:rPr>
                  <w:rFonts w:ascii="Times New Roman" w:cs="Times New Roman" w:eastAsia="Times New Roman" w:hAnsi="Times New Roman"/>
                  <w:sz w:val="18"/>
                  <w:szCs w:val="18"/>
                  <w:color w:val="0000FF"/>
                </w:rPr>
                <w:t xml:space="preserve"> to Form 10-K for the year ended December 31, 2024. (2)</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SJW Group Restricted Stock Unit Issuance Agreement. Incorporated by reference as Exhibit 10.52 to Form</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10-K for the year ended December 31, 2016. (2)</w:t>
              </w:r>
            </w:hyperlink>
          </w:p>
        </w:tc>
        <w:tc>
          <w:tcPr>
            <w:tcW w:w="492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SJW Group Restricted Stock Unit Issuance Agreement (ROE Goal). Incorporated by reference to Exhibit</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r>
                <w:rPr>
                  <w:rFonts w:ascii="Times New Roman" w:cs="Times New Roman" w:eastAsia="Times New Roman" w:hAnsi="Times New Roman"/>
                  <w:sz w:val="18"/>
                  <w:szCs w:val="18"/>
                  <w:color w:val="0000FF"/>
                </w:rPr>
                <w:t xml:space="preserve"> to Form 10-K for the year ended December 31, 2024. (2)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40" w:type="dxa"/>
            <w:vAlign w:val="bottom"/>
          </w:tcPr>
          <w:p>
            <w:pPr>
              <w:spacing w:after="0"/>
              <w:rPr>
                <w:sz w:val="24"/>
                <w:szCs w:val="24"/>
                <w:color w:val="auto"/>
              </w:rPr>
            </w:pPr>
          </w:p>
        </w:tc>
        <w:tc>
          <w:tcPr>
            <w:tcW w:w="84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 xml:space="preserve">Form of H2O America Restricted Stock Unit Issuance Agreement - Customer Affordability </w:t>
            </w:r>
            <w:r>
              <w:rPr>
                <w:rFonts w:ascii="Times New Roman" w:cs="Times New Roman" w:eastAsia="Times New Roman" w:hAnsi="Times New Roman"/>
                <w:sz w:val="18"/>
                <w:szCs w:val="18"/>
                <w:color w:val="000000"/>
              </w:rPr>
              <w:t>(1)(2)</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Director and Officer Indemnification Agreement between SJW Group and its officers and Board members.</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10.1 to Form 8-K filed on November 15, 2016</w:t>
              </w:r>
              <w:r>
                <w:rPr>
                  <w:rFonts w:ascii="Times New Roman" w:cs="Times New Roman" w:eastAsia="Times New Roman" w:hAnsi="Times New Roman"/>
                  <w:sz w:val="18"/>
                  <w:szCs w:val="18"/>
                  <w:color w:val="000000"/>
                </w:rPr>
                <w:t>. (2)</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40" w:type="dxa"/>
            <w:vAlign w:val="bottom"/>
          </w:tcPr>
          <w:p>
            <w:pPr>
              <w:spacing w:after="0"/>
              <w:rPr>
                <w:sz w:val="24"/>
                <w:szCs w:val="24"/>
                <w:color w:val="auto"/>
              </w:rPr>
            </w:pPr>
          </w:p>
        </w:tc>
        <w:tc>
          <w:tcPr>
            <w:tcW w:w="84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Trust Agreement for The Connecticut Water Company Welfare Benefits Plan (VEBA) dated January 1, 1989.</w:t>
            </w:r>
          </w:p>
        </w:tc>
      </w:tr>
      <w:tr>
        <w:trPr>
          <w:trHeight w:val="184"/>
        </w:trPr>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gridSpan w:val="38"/>
          </w:tcPr>
          <w:p>
            <w:pPr>
              <w:spacing w:after="0" w:line="184" w:lineRule="exact"/>
              <w:rPr>
                <w:sz w:val="20"/>
                <w:szCs w:val="20"/>
                <w:color w:val="auto"/>
              </w:rPr>
            </w:pPr>
            <w:r>
              <w:rPr>
                <w:rFonts w:ascii="Times New Roman" w:cs="Times New Roman" w:eastAsia="Times New Roman" w:hAnsi="Times New Roman"/>
                <w:sz w:val="18"/>
                <w:szCs w:val="18"/>
                <w:color w:val="auto"/>
              </w:rPr>
              <w:t>Incorporated by reference to Exhibit 10.21 to Connecticut Water Service, Inc.’s Form 10-K for the year ended</w:t>
            </w:r>
          </w:p>
        </w:tc>
      </w:tr>
      <w:tr>
        <w:trPr>
          <w:trHeight w:val="234"/>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December 31, 1989. (2)</w:t>
            </w:r>
          </w:p>
        </w:tc>
      </w:tr>
      <w:tr>
        <w:trPr>
          <w:trHeight w:val="3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Supplemental Executive Retirement Agreement dated January 24, 2008 between The</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4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Connecticut Water Company and Eric W. Thornburg. Incorporated by reference to Exhibit 10.73 to Form 10-</w:t>
              </w:r>
            </w:hyperlink>
          </w:p>
        </w:tc>
        <w:tc>
          <w:tcPr>
            <w:tcW w:w="640" w:type="dxa"/>
            <w:vAlign w:val="bottom"/>
            <w:gridSpan w:val="22"/>
          </w:tcPr>
          <w:p>
            <w:pPr>
              <w:ind w:left="20"/>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K for</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4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 xml:space="preserve">the year ended December 31, 2020 </w:t>
              </w:r>
              <w:r>
                <w:rPr>
                  <w:rFonts w:ascii="Times New Roman" w:cs="Times New Roman" w:eastAsia="Times New Roman" w:hAnsi="Times New Roman"/>
                  <w:sz w:val="18"/>
                  <w:szCs w:val="18"/>
                  <w:color w:val="000000"/>
                </w:rPr>
                <w:t>(2)</w:t>
              </w:r>
            </w:hyperlink>
          </w:p>
        </w:tc>
        <w:tc>
          <w:tcPr>
            <w:tcW w:w="60" w:type="dxa"/>
            <w:vAlign w:val="bottom"/>
            <w:gridSpan w:val="3"/>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80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Supplemental Executive Retirement Agreement dated November 15, 2017 between The</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Connecticut Water Company and Kristen A. Johnson. Incorporated by reference to Exhibit 10.75 to Form 10-K</w:t>
              </w:r>
            </w:hyperlink>
          </w:p>
        </w:tc>
        <w:tc>
          <w:tcPr>
            <w:tcW w:w="440" w:type="dxa"/>
            <w:vAlign w:val="bottom"/>
            <w:gridSpan w:val="18"/>
          </w:tcPr>
          <w:p>
            <w:pPr>
              <w:jc w:val="center"/>
              <w:ind w:right="200"/>
              <w:spacing w:after="0" w:line="169" w:lineRule="exact"/>
              <w:rPr>
                <w:rFonts w:ascii="Times New Roman" w:cs="Times New Roman" w:eastAsia="Times New Roman" w:hAnsi="Times New Roman"/>
                <w:sz w:val="18"/>
                <w:szCs w:val="18"/>
                <w:color w:val="0000FF"/>
                <w:w w:val="95"/>
              </w:rPr>
            </w:pPr>
            <w:hyperlink r:id="rId170">
              <w:r>
                <w:rPr>
                  <w:rFonts w:ascii="Times New Roman" w:cs="Times New Roman" w:eastAsia="Times New Roman" w:hAnsi="Times New Roman"/>
                  <w:sz w:val="18"/>
                  <w:szCs w:val="18"/>
                  <w:color w:val="0000FF"/>
                  <w:w w:val="95"/>
                </w:rPr>
                <w:t>for</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0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 year ended December 31, 2019</w:t>
              </w:r>
              <w:r>
                <w:rPr>
                  <w:rFonts w:ascii="Times New Roman" w:cs="Times New Roman" w:eastAsia="Times New Roman" w:hAnsi="Times New Roman"/>
                  <w:sz w:val="18"/>
                  <w:szCs w:val="18"/>
                  <w:color w:val="000000"/>
                </w:rPr>
                <w:t>. (2)</w:t>
              </w:r>
            </w:hyperlink>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840" w:type="dxa"/>
            <w:vAlign w:val="bottom"/>
            <w:gridSpan w:val="17"/>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40" w:type="dxa"/>
            <w:vAlign w:val="bottom"/>
          </w:tcPr>
          <w:p>
            <w:pPr>
              <w:spacing w:after="0"/>
              <w:rPr>
                <w:sz w:val="24"/>
                <w:szCs w:val="24"/>
                <w:color w:val="auto"/>
              </w:rPr>
            </w:pPr>
          </w:p>
        </w:tc>
        <w:tc>
          <w:tcPr>
            <w:tcW w:w="8480" w:type="dxa"/>
            <w:vAlign w:val="bottom"/>
            <w:gridSpan w:val="3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Amendment to the Amended and Restated Supplemental Executive Retirement Agreement effective as of November</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 2019 between Kristen A. Johnson and The Connecticut Water Company. Incorporated by reference to Exhibit</w:t>
              </w:r>
            </w:hyperlink>
          </w:p>
        </w:tc>
        <w:tc>
          <w:tcPr>
            <w:tcW w:w="40" w:type="dxa"/>
            <w:vAlign w:val="bottom"/>
            <w:gridSpan w:val="2"/>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8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77</w:t>
              </w:r>
              <w:r>
                <w:rPr>
                  <w:rFonts w:ascii="Times New Roman" w:cs="Times New Roman" w:eastAsia="Times New Roman" w:hAnsi="Times New Roman"/>
                  <w:sz w:val="18"/>
                  <w:szCs w:val="18"/>
                  <w:color w:val="0000FF"/>
                </w:rPr>
                <w:t xml:space="preserve"> to Form 10-K for the year ended December 31, 2019</w:t>
              </w:r>
              <w:r>
                <w:rPr>
                  <w:rFonts w:ascii="Times New Roman" w:cs="Times New Roman" w:eastAsia="Times New Roman" w:hAnsi="Times New Roman"/>
                  <w:sz w:val="18"/>
                  <w:szCs w:val="18"/>
                  <w:color w:val="000000"/>
                </w:rPr>
                <w:t>. (2)</w:t>
              </w:r>
            </w:hyperlink>
          </w:p>
        </w:tc>
        <w:tc>
          <w:tcPr>
            <w:tcW w:w="400" w:type="dxa"/>
            <w:vAlign w:val="bottom"/>
            <w:gridSpan w:val="16"/>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Grantor Trust Agreement dated May 1, 2017, between Connecticut Water Service, Inc. and Matrix Trust Company.</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Incorporated by reference to Exhibit 10.78 to Form 10-K for the year ended 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Deferred Compensation Agreement dated December 8, 2011 between The Connecticut Water Company and Eric W.</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8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Thornburg. Incorporated by reference to Exhibit 10.78 to Form 10-K for the year ended December 31, 2020</w:t>
              </w:r>
              <w:r>
                <w:rPr>
                  <w:rFonts w:ascii="Times New Roman" w:cs="Times New Roman" w:eastAsia="Times New Roman" w:hAnsi="Times New Roman"/>
                  <w:sz w:val="18"/>
                  <w:szCs w:val="18"/>
                  <w:color w:val="000000"/>
                </w:rPr>
                <w:t>. (2)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Amended and Restated Deferred Compensation Agreement, effective January 1, 2011, between The Connecticut</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1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Water Company and Kristen A. Johnson. Incorporated by reference to Exhibit 10.80 to Form 10-K for the year</w:t>
              </w:r>
            </w:hyperlink>
          </w:p>
        </w:tc>
        <w:tc>
          <w:tcPr>
            <w:tcW w:w="1800" w:type="dxa"/>
            <w:vAlign w:val="bottom"/>
            <w:gridSpan w:val="22"/>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ended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52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40" w:type="dxa"/>
            <w:vAlign w:val="bottom"/>
          </w:tcPr>
          <w:p>
            <w:pPr>
              <w:spacing w:after="0"/>
              <w:rPr>
                <w:sz w:val="24"/>
                <w:szCs w:val="24"/>
                <w:color w:val="auto"/>
              </w:rPr>
            </w:pPr>
          </w:p>
        </w:tc>
        <w:tc>
          <w:tcPr>
            <w:tcW w:w="83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First Amendment to the Amended and Restated Deferred Compensation Agreement, dated as of December 1, 2011,</w:t>
              </w:r>
            </w:hyperlink>
          </w:p>
        </w:tc>
        <w:tc>
          <w:tcPr>
            <w:tcW w:w="1600" w:type="dxa"/>
            <w:vAlign w:val="bottom"/>
            <w:gridSpan w:val="13"/>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20" w:type="dxa"/>
            <w:vAlign w:val="bottom"/>
            <w:gridSpan w:val="39"/>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among Kristen A. Johnson and The Connecticut Water Company. Incorporated by reference to Exhibit 10.82 to Form</w:t>
              </w:r>
            </w:hyperlink>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500" w:type="dxa"/>
            <w:vAlign w:val="bottom"/>
            <w:tcBorders>
              <w:top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10-K for the year ended December 31, 2019</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40" w:type="dxa"/>
            <w:vAlign w:val="bottom"/>
          </w:tcPr>
          <w:p>
            <w:pPr>
              <w:spacing w:after="0"/>
              <w:rPr>
                <w:sz w:val="24"/>
                <w:szCs w:val="24"/>
                <w:color w:val="auto"/>
              </w:rPr>
            </w:pPr>
          </w:p>
        </w:tc>
        <w:tc>
          <w:tcPr>
            <w:tcW w:w="81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Second Amendment to the Amended and Restated Deferred Compensation Agreement, dated as of December 20,</w:t>
              </w:r>
            </w:hyperlink>
          </w:p>
        </w:tc>
        <w:tc>
          <w:tcPr>
            <w:tcW w:w="1740" w:type="dxa"/>
            <w:vAlign w:val="bottom"/>
            <w:gridSpan w:val="19"/>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20" w:type="dxa"/>
            <w:vAlign w:val="bottom"/>
            <w:gridSpan w:val="39"/>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2016, between the Connecticut Water Company and Kristen A. Johnson. Incorporated by reference to Exhibit 10.86</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4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to Form 10-K for the year ended 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Connecticut Water Company Deferred Compensation Plan, effective January 1, 2017. Incorporated by reference to</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Exhibit 10.1 to Connecticut Water Service, Inc.’s Form 8-K filed on December 16, 2016</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First Amendment, effective October 9, 2019, to the Connecticut Water Company Deferred Compensation Plan, dated</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6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January 1, 2017. Incorporated by reference to Exhibit 10.89 to Form 10-K for the year ended December 31, 2019</w:t>
              </w:r>
              <w:r>
                <w:rPr>
                  <w:rFonts w:ascii="Times New Roman" w:cs="Times New Roman" w:eastAsia="Times New Roman" w:hAnsi="Times New Roman"/>
                  <w:sz w:val="18"/>
                  <w:szCs w:val="18"/>
                  <w:color w:val="000000"/>
                  <w:w w:val="99"/>
                </w:rPr>
                <w:t>. (2)</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Second Amendment, effective October 9, 2019, to the Connecticut Water Company Deferred Compensation Plan,</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dated January 1, 2017. Incorporated by reference to Exhibit 10.90 to Form 10-K for the year ended December 31,</w:t>
              </w:r>
            </w:hyperlink>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2019</w:t>
              </w:r>
              <w:r>
                <w:rPr>
                  <w:rFonts w:ascii="Times New Roman" w:cs="Times New Roman" w:eastAsia="Times New Roman" w:hAnsi="Times New Roman"/>
                  <w:sz w:val="18"/>
                  <w:szCs w:val="18"/>
                  <w:color w:val="000000"/>
                </w:rPr>
                <w:t>. (2)</w:t>
              </w:r>
            </w:hyperlink>
          </w:p>
        </w:tc>
        <w:tc>
          <w:tcPr>
            <w:tcW w:w="17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Third Amendment, effective July 28, 2021, to the Connecticut Water Company Deferred Compensation Plan, dated</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16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January 1, 2017. Incorporated by reference as Exhibit 10.2 to Form 10-Q for the quarter ended June 30, 2021. (2)</w:t>
              </w:r>
            </w:hyperlink>
          </w:p>
        </w:tc>
        <w:tc>
          <w:tcPr>
            <w:tcW w:w="140" w:type="dxa"/>
            <w:vAlign w:val="bottom"/>
            <w:tcBorders>
              <w:top w:val="single" w:sz="8" w:color="0000FF"/>
            </w:tcBorders>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40" w:type="dxa"/>
            <w:vAlign w:val="bottom"/>
          </w:tcPr>
          <w:p>
            <w:pPr>
              <w:spacing w:after="0"/>
              <w:rPr>
                <w:sz w:val="24"/>
                <w:szCs w:val="24"/>
                <w:color w:val="auto"/>
              </w:rPr>
            </w:pPr>
          </w:p>
        </w:tc>
        <w:tc>
          <w:tcPr>
            <w:tcW w:w="7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Amended and Restated Employment Agreement, dated December 30, 2008, among The Connecticut Water</w:t>
              </w:r>
            </w:hyperlink>
          </w:p>
        </w:tc>
        <w:tc>
          <w:tcPr>
            <w:tcW w:w="2160" w:type="dxa"/>
            <w:vAlign w:val="bottom"/>
            <w:gridSpan w:val="26"/>
          </w:tcPr>
          <w:p>
            <w:pPr>
              <w:spacing w:after="0"/>
              <w:rPr>
                <w:sz w:val="24"/>
                <w:szCs w:val="24"/>
                <w:color w:val="auto"/>
              </w:rPr>
            </w:pPr>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920" w:type="dxa"/>
            <w:vAlign w:val="bottom"/>
            <w:gridSpan w:val="39"/>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Company, Connecticut Water Service, Inc., and Kristen A. Johnson. Incorporated by reference to Exhibit 10.94 to</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10-K for the year ended December 31, 2019</w:t>
              </w:r>
              <w:r>
                <w:rPr>
                  <w:rFonts w:ascii="Times New Roman" w:cs="Times New Roman" w:eastAsia="Times New Roman" w:hAnsi="Times New Roman"/>
                  <w:sz w:val="18"/>
                  <w:szCs w:val="18"/>
                  <w:color w:val="000000"/>
                </w:rPr>
                <w:t>. (2)</w:t>
              </w:r>
            </w:hyperlink>
          </w:p>
        </w:tc>
        <w:tc>
          <w:tcPr>
            <w:tcW w:w="16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First Amendment to Amended and Restated Employment Agreement, dated March 8, 2013, among The Connecticut</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Water Company, Connecticut Water Service, Inc. and Kristen A. Johnson. Incorporated by reference to Exhibit 10.17</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80" w:type="dxa"/>
            <w:vAlign w:val="bottom"/>
            <w:gridSpan w:val="34"/>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to Connecticut Water Service, Inc.’s Form 10-K for the year ended December 31, 2012</w:t>
              </w:r>
              <w:r>
                <w:rPr>
                  <w:rFonts w:ascii="Times New Roman" w:cs="Times New Roman" w:eastAsia="Times New Roman" w:hAnsi="Times New Roman"/>
                  <w:sz w:val="18"/>
                  <w:szCs w:val="18"/>
                  <w:color w:val="000000"/>
                </w:rPr>
                <w:t>. (2)</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40" w:type="dxa"/>
            <w:vAlign w:val="bottom"/>
          </w:tcPr>
          <w:p>
            <w:pPr>
              <w:spacing w:after="0"/>
              <w:rPr>
                <w:sz w:val="24"/>
                <w:szCs w:val="24"/>
                <w:color w:val="auto"/>
              </w:rPr>
            </w:pPr>
          </w:p>
        </w:tc>
        <w:tc>
          <w:tcPr>
            <w:tcW w:w="77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Form of Second Amendment to Employment Agreement, dated April 2014, among The Connecticut Water</w:t>
              </w:r>
            </w:hyperlink>
          </w:p>
        </w:tc>
        <w:tc>
          <w:tcPr>
            <w:tcW w:w="2220" w:type="dxa"/>
            <w:vAlign w:val="bottom"/>
            <w:gridSpan w:val="27"/>
          </w:tcPr>
          <w:p>
            <w:pPr>
              <w:spacing w:after="0"/>
              <w:rPr>
                <w:sz w:val="24"/>
                <w:szCs w:val="24"/>
                <w:color w:val="auto"/>
              </w:rPr>
            </w:pPr>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920" w:type="dxa"/>
            <w:vAlign w:val="bottom"/>
            <w:gridSpan w:val="39"/>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Company, Connecticut Water Service, Inc. and Kristen A. Johnson. Incorporated by reference to Exhibit 10.2 to</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Connecticut Water Service, Inc.'s Form 8-K filed on April 3, 2014</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8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10.59</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Third Amendment to the Amended and Restated Employment Agreement, effective as of November 1, 2019, among</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2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The Connecticut Water Company, Connecticut Water Service, Inc. and Kristen A. Johnson. Incorporated by reference</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540" w:type="dxa"/>
            <w:vAlign w:val="bottom"/>
            <w:gridSpan w:val="37"/>
          </w:tcPr>
          <w:p>
            <w:pPr>
              <w:spacing w:after="0" w:line="18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to Exhibit 10.97 to Form 10-K for the year ended 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7"/>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10.60</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Amended and Restated Director Compensation and Expense Reimbursement Policies effective March 3, 2025.</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Incorporated by reference to Exhibit 10.1 to Form 10-Q for the quarter ended March 31, 2025.</w:t>
              </w:r>
            </w:hyperlink>
          </w:p>
        </w:tc>
        <w:tc>
          <w:tcPr>
            <w:tcW w:w="118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360" w:type="dxa"/>
            <w:vAlign w:val="bottom"/>
          </w:tcPr>
          <w:p>
            <w:pPr>
              <w:spacing w:after="0"/>
              <w:rPr>
                <w:sz w:val="13"/>
                <w:szCs w:val="13"/>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Second Amended and Restated Formulaic Equity Award Program for Non-Employee Board Members effective as of</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December 12, 2024. Incorporated by reference to Exhibit 10.60 to Form 10-K for the year ended December 31, 2024.</w:t>
              </w:r>
            </w:hyperlink>
          </w:p>
        </w:tc>
        <w:tc>
          <w:tcPr>
            <w:tcW w:w="120" w:type="dxa"/>
            <w:vAlign w:val="bottom"/>
            <w:tcBorders>
              <w:bottom w:val="single" w:sz="8" w:color="0000FF"/>
            </w:tcBorders>
            <w:gridSpan w:val="6"/>
          </w:tcPr>
          <w:p>
            <w:pPr>
              <w:spacing w:after="0"/>
              <w:rPr>
                <w:sz w:val="13"/>
                <w:szCs w:val="13"/>
                <w:color w:val="auto"/>
              </w:rPr>
            </w:pPr>
          </w:p>
        </w:tc>
        <w:tc>
          <w:tcPr>
            <w:tcW w:w="1360" w:type="dxa"/>
            <w:vAlign w:val="bottom"/>
          </w:tcPr>
          <w:p>
            <w:pPr>
              <w:spacing w:after="0"/>
              <w:rPr>
                <w:sz w:val="13"/>
                <w:szCs w:val="13"/>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10.62</w:t>
            </w:r>
          </w:p>
        </w:tc>
        <w:tc>
          <w:tcPr>
            <w:tcW w:w="40" w:type="dxa"/>
            <w:vAlign w:val="bottom"/>
          </w:tcPr>
          <w:p>
            <w:pPr>
              <w:spacing w:after="0"/>
              <w:rPr>
                <w:sz w:val="24"/>
                <w:szCs w:val="24"/>
                <w:color w:val="auto"/>
              </w:rPr>
            </w:pPr>
          </w:p>
        </w:tc>
        <w:tc>
          <w:tcPr>
            <w:tcW w:w="9920" w:type="dxa"/>
            <w:vAlign w:val="bottom"/>
            <w:gridSpan w:val="3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Employment Agreement, dated April 1, 2014, among The Connecticut Water Company, Connecticut Water Service,</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 xml:space="preserve">Inc. and Craig J. Patla. Incorporated by reference to Exhibit 10.85 to the Form 10-K filed on February 24, 2023. </w:t>
              </w:r>
              <w:r>
                <w:rPr>
                  <w:rFonts w:ascii="Times New Roman" w:cs="Times New Roman" w:eastAsia="Times New Roman" w:hAnsi="Times New Roman"/>
                  <w:sz w:val="18"/>
                  <w:szCs w:val="18"/>
                  <w:color w:val="000000"/>
                </w:rPr>
                <w:t>(2)</w:t>
              </w:r>
            </w:hyperlink>
          </w:p>
        </w:tc>
        <w:tc>
          <w:tcPr>
            <w:tcW w:w="1560" w:type="dxa"/>
            <w:vAlign w:val="bottom"/>
            <w:gridSpan w:val="11"/>
          </w:tcPr>
          <w:p>
            <w:pPr>
              <w:spacing w:after="0"/>
              <w:rPr>
                <w:sz w:val="13"/>
                <w:szCs w:val="13"/>
                <w:color w:val="auto"/>
              </w:rPr>
            </w:pPr>
          </w:p>
        </w:tc>
      </w:tr>
      <w:tr>
        <w:trPr>
          <w:trHeight w:val="1168"/>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tcBorders>
              <w:top w:val="single" w:sz="8" w:color="0000FF"/>
            </w:tcBorders>
            <w:gridSpan w:val="7"/>
          </w:tcPr>
          <w:p>
            <w:pPr>
              <w:ind w:left="4500"/>
              <w:spacing w:after="0"/>
              <w:rPr>
                <w:sz w:val="20"/>
                <w:szCs w:val="20"/>
                <w:color w:val="auto"/>
              </w:rPr>
            </w:pPr>
            <w:r>
              <w:rPr>
                <w:rFonts w:ascii="Times New Roman" w:cs="Times New Roman" w:eastAsia="Times New Roman" w:hAnsi="Times New Roman"/>
                <w:sz w:val="18"/>
                <w:szCs w:val="18"/>
                <w:color w:val="auto"/>
              </w:rPr>
              <w:t>101</w:t>
            </w:r>
          </w:p>
        </w:tc>
        <w:tc>
          <w:tcPr>
            <w:tcW w:w="1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2"/>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10.63</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First Amendment to Employment Agreement, effective as of January 18, 2020, among The Connecticut Water</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9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Company, Connecticut Water Service, Inc. and Craig J. Patla. Incorporated by reference to Exhibit 10.86 to the</w:t>
              </w:r>
            </w:hyperlink>
          </w:p>
        </w:tc>
        <w:tc>
          <w:tcPr>
            <w:tcW w:w="500" w:type="dxa"/>
            <w:vAlign w:val="bottom"/>
            <w:gridSpan w:val="15"/>
          </w:tcPr>
          <w:p>
            <w:pPr>
              <w:jc w:val="right"/>
              <w:ind w:right="20"/>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10-K filed on February 24, 2023. </w:t>
              </w:r>
              <w:r>
                <w:rPr>
                  <w:rFonts w:ascii="Times New Roman" w:cs="Times New Roman" w:eastAsia="Times New Roman" w:hAnsi="Times New Roman"/>
                  <w:sz w:val="18"/>
                  <w:szCs w:val="18"/>
                  <w:color w:val="000000"/>
                </w:rPr>
                <w:t>(2)</w:t>
              </w:r>
            </w:hyperlink>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Second Amendment to Employment Agreement, effective as of January 1, 2023, among The Connecticut Water</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Company, Connecticut Water Service, Inc. and Craig J. Patla. Incorporated by reference to Exhibit 10.87 to the</w:t>
              </w:r>
            </w:hyperlink>
          </w:p>
        </w:tc>
        <w:tc>
          <w:tcPr>
            <w:tcW w:w="380" w:type="dxa"/>
            <w:vAlign w:val="bottom"/>
            <w:gridSpan w:val="13"/>
          </w:tcPr>
          <w:p>
            <w:pPr>
              <w:jc w:val="right"/>
              <w:ind w:right="20"/>
              <w:spacing w:after="0" w:line="156" w:lineRule="exact"/>
              <w:rPr>
                <w:rFonts w:ascii="Times New Roman" w:cs="Times New Roman" w:eastAsia="Times New Roman" w:hAnsi="Times New Roman"/>
                <w:sz w:val="18"/>
                <w:szCs w:val="18"/>
                <w:color w:val="0000FF"/>
                <w:w w:val="87"/>
              </w:rPr>
            </w:pPr>
            <w:hyperlink r:id="rId192">
              <w:r>
                <w:rPr>
                  <w:rFonts w:ascii="Times New Roman" w:cs="Times New Roman" w:eastAsia="Times New Roman" w:hAnsi="Times New Roman"/>
                  <w:sz w:val="18"/>
                  <w:szCs w:val="18"/>
                  <w:color w:val="0000FF"/>
                  <w:w w:val="87"/>
                </w:rPr>
                <w:t>Form</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10-K filed on February 24, 2023. </w:t>
              </w:r>
              <w:r>
                <w:rPr>
                  <w:rFonts w:ascii="Times New Roman" w:cs="Times New Roman" w:eastAsia="Times New Roman" w:hAnsi="Times New Roman"/>
                  <w:sz w:val="18"/>
                  <w:szCs w:val="18"/>
                  <w:color w:val="000000"/>
                </w:rPr>
                <w:t>(2)</w:t>
              </w:r>
            </w:hyperlink>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10.65</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SJW Group 2023 Long-Term Incentive Plan. Incorporated by reference to Appendix I to the Proxy Statement filed</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on March 9, 2023. </w:t>
              </w:r>
              <w:r>
                <w:rPr>
                  <w:rFonts w:ascii="Times New Roman" w:cs="Times New Roman" w:eastAsia="Times New Roman" w:hAnsi="Times New Roman"/>
                  <w:sz w:val="18"/>
                  <w:szCs w:val="18"/>
                  <w:color w:val="000000"/>
                </w:rPr>
                <w:t>(2)</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10.66</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SJW Group 2023 Employee Stock Purchase Plan. Incorporated by reference to Appendix II to the Proxy Statement</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 xml:space="preserve">filed on March 9, 2023. </w:t>
              </w:r>
              <w:r>
                <w:rPr>
                  <w:rFonts w:ascii="Times New Roman" w:cs="Times New Roman" w:eastAsia="Times New Roman" w:hAnsi="Times New Roman"/>
                  <w:sz w:val="18"/>
                  <w:szCs w:val="18"/>
                  <w:color w:val="000000"/>
                </w:rPr>
                <w:t>(2)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10.67</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Credit Agreement, dated September 12, 2025, between H2O America, San Jose Water</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9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Company, SJWTX, Inc., The Connecticut Water Company, and The Maine Water Company, JPMorgan Chase</w:t>
              </w:r>
            </w:hyperlink>
          </w:p>
        </w:tc>
        <w:tc>
          <w:tcPr>
            <w:tcW w:w="520" w:type="dxa"/>
            <w:vAlign w:val="bottom"/>
            <w:gridSpan w:val="16"/>
          </w:tcPr>
          <w:p>
            <w:pPr>
              <w:jc w:val="right"/>
              <w:ind w:right="60"/>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Bank,</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3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N.A., as administrative agent and a lender, and Wells Fargo Bank, National Association, as Administrative Agent,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and the other lenders party thereto. Incorporated by reference to Exhibit 10.1 to Form 8-K filed on September 16,</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29">
              <w:r>
                <w:rPr>
                  <w:rFonts w:ascii="Times New Roman" w:cs="Times New Roman" w:eastAsia="Times New Roman" w:hAnsi="Times New Roman"/>
                  <w:sz w:val="18"/>
                  <w:szCs w:val="18"/>
                  <w:color w:val="0000FF"/>
                  <w:w w:val="93"/>
                </w:rPr>
                <w:t>2025.</w:t>
              </w:r>
            </w:hyperlink>
          </w:p>
        </w:tc>
        <w:tc>
          <w:tcPr>
            <w:tcW w:w="2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10.68</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Equity Distribution Agreement, dated October 29, 2024, by and among SJW Group, BofA Securities, Inc.,</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J.P.Morgan Securities LLC, RBC Capital Markets, LLC and Wells Fargo Securities, LLC. Incorporated by</w:t>
              </w:r>
            </w:hyperlink>
          </w:p>
        </w:tc>
        <w:tc>
          <w:tcPr>
            <w:tcW w:w="760" w:type="dxa"/>
            <w:vAlign w:val="bottom"/>
            <w:gridSpan w:val="17"/>
          </w:tcPr>
          <w:p>
            <w:pPr>
              <w:jc w:val="right"/>
              <w:ind w:right="60"/>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reference</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to Exhibit 1.1 to Form 8-K dated October 30, 2024</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10.69</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Asset Purchase Agreement, dated July 7, 2025, by and among Quadvest, L.P., SJWTX, Inc., and H2O America.</w:t>
              </w:r>
            </w:hyperlink>
          </w:p>
        </w:tc>
      </w:tr>
      <w:tr>
        <w:trPr>
          <w:trHeight w:val="156"/>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Incorporated by reference to Exhibit 2.1 to Form 8-K filed on July 8, 2025</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Pr>
          <w:p>
            <w:pPr>
              <w:spacing w:after="0"/>
              <w:rPr>
                <w:sz w:val="24"/>
                <w:szCs w:val="24"/>
                <w:color w:val="auto"/>
              </w:rPr>
            </w:pPr>
          </w:p>
        </w:tc>
        <w:tc>
          <w:tcPr>
            <w:tcW w:w="8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Asset Purchase Agreement, dated July 7, 2025, by and among Quadvest Wholesale, LLC, Quadvest, L.P., Texas</w:t>
              </w:r>
            </w:hyperlink>
          </w:p>
        </w:tc>
        <w:tc>
          <w:tcPr>
            <w:tcW w:w="360" w:type="dxa"/>
            <w:vAlign w:val="bottom"/>
            <w:gridSpan w:val="12"/>
          </w:tcPr>
          <w:p>
            <w:pPr>
              <w:spacing w:after="0"/>
              <w:rPr>
                <w:sz w:val="24"/>
                <w:szCs w:val="24"/>
                <w:color w:val="auto"/>
              </w:rPr>
            </w:pPr>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40" w:type="dxa"/>
            <w:vAlign w:val="bottom"/>
            <w:gridSpan w:val="31"/>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Water Operation Services, LLC, SJWTX, Inc., and H2O America. Incorporated by reference to Exhibit 2.2 to Form</w:t>
              </w:r>
            </w:hyperlink>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3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8-K filed on July 8,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Pr>
          <w:p>
            <w:pPr>
              <w:spacing w:after="0"/>
              <w:rPr>
                <w:sz w:val="24"/>
                <w:szCs w:val="24"/>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H2O America Insider Trading Policy</w:t>
            </w:r>
            <w:r>
              <w:rPr>
                <w:rFonts w:ascii="Times New Roman" w:cs="Times New Roman" w:eastAsia="Times New Roman" w:hAnsi="Times New Roman"/>
                <w:sz w:val="18"/>
                <w:szCs w:val="18"/>
                <w:color w:val="000000"/>
              </w:rPr>
              <w:t>. (1)</w:t>
            </w: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24"/>
                <w:szCs w:val="24"/>
                <w:color w:val="auto"/>
              </w:rPr>
            </w:pPr>
          </w:p>
        </w:tc>
        <w:tc>
          <w:tcPr>
            <w:tcW w:w="26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 xml:space="preserve">Subsidiaries of H2O America. </w:t>
            </w:r>
            <w:r>
              <w:rPr>
                <w:rFonts w:ascii="Times New Roman" w:cs="Times New Roman" w:eastAsia="Times New Roman" w:hAnsi="Times New Roman"/>
                <w:sz w:val="18"/>
                <w:szCs w:val="18"/>
                <w:color w:val="000000"/>
              </w:rPr>
              <w:t>(1)</w:t>
            </w:r>
          </w:p>
        </w:tc>
        <w:tc>
          <w:tcPr>
            <w:tcW w:w="5760" w:type="dxa"/>
            <w:vAlign w:val="bottom"/>
            <w:gridSpan w:val="22"/>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24"/>
                <w:szCs w:val="24"/>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r>
              <w:rPr>
                <w:rFonts w:ascii="Times New Roman" w:cs="Times New Roman" w:eastAsia="Times New Roman" w:hAnsi="Times New Roman"/>
                <w:sz w:val="18"/>
                <w:szCs w:val="18"/>
                <w:color w:val="000000"/>
              </w:rPr>
              <w:t>. (1)</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by President and Chief Executive Officer</w:t>
            </w:r>
            <w:r>
              <w:rPr>
                <w:rFonts w:ascii="Times New Roman" w:cs="Times New Roman" w:eastAsia="Times New Roman" w:hAnsi="Times New Roman"/>
                <w:sz w:val="18"/>
                <w:szCs w:val="18"/>
                <w:color w:val="000000"/>
              </w:rPr>
              <w:t>. (1)</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540" w:type="dxa"/>
            <w:vAlign w:val="bottom"/>
            <w:tcBorders>
              <w:left w:val="single" w:sz="8" w:color="0000FF"/>
            </w:tcBorders>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by Chief Financial Officer and Treasurer</w:t>
            </w:r>
            <w:r>
              <w:rPr>
                <w:rFonts w:ascii="Times New Roman" w:cs="Times New Roman" w:eastAsia="Times New Roman" w:hAnsi="Times New Roman"/>
                <w:sz w:val="18"/>
                <w:szCs w:val="18"/>
                <w:color w:val="000000"/>
              </w:rPr>
              <w:t>. (1)</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24"/>
                <w:szCs w:val="24"/>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President and Chief Executive Officer, as adopted pursuant to</w:t>
            </w: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2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r>
              <w:rPr>
                <w:rFonts w:ascii="Times New Roman" w:cs="Times New Roman" w:eastAsia="Times New Roman" w:hAnsi="Times New Roman"/>
                <w:sz w:val="18"/>
                <w:szCs w:val="18"/>
                <w:color w:val="000000"/>
              </w:rPr>
              <w:t>. (1)</w:t>
            </w:r>
          </w:p>
        </w:tc>
        <w:tc>
          <w:tcPr>
            <w:tcW w:w="12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4760" w:type="dxa"/>
            <w:vAlign w:val="bottom"/>
            <w:gridSpan w:val="11"/>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24"/>
                <w:szCs w:val="24"/>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and Treasurer, as adopted pursuant to</w:t>
            </w:r>
          </w:p>
        </w:tc>
      </w:tr>
      <w:tr>
        <w:trPr>
          <w:trHeight w:val="169"/>
        </w:trPr>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18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r>
              <w:rPr>
                <w:rFonts w:ascii="Times New Roman" w:cs="Times New Roman" w:eastAsia="Times New Roman" w:hAnsi="Times New Roman"/>
                <w:sz w:val="18"/>
                <w:szCs w:val="18"/>
                <w:color w:val="000000"/>
              </w:rPr>
              <w:t>. (1)</w:t>
            </w:r>
          </w:p>
        </w:tc>
        <w:tc>
          <w:tcPr>
            <w:tcW w:w="160" w:type="dxa"/>
            <w:vAlign w:val="bottom"/>
            <w:gridSpan w:val="6"/>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4920" w:type="dxa"/>
            <w:vAlign w:val="bottom"/>
            <w:gridSpan w:val="1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40" w:type="dxa"/>
            <w:vAlign w:val="bottom"/>
          </w:tcPr>
          <w:p>
            <w:pPr>
              <w:spacing w:after="0"/>
              <w:rPr>
                <w:sz w:val="24"/>
                <w:szCs w:val="24"/>
                <w:color w:val="auto"/>
              </w:rPr>
            </w:pPr>
          </w:p>
        </w:tc>
        <w:tc>
          <w:tcPr>
            <w:tcW w:w="8440" w:type="dxa"/>
            <w:vAlign w:val="bottom"/>
            <w:gridSpan w:val="31"/>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SJW Group Clawback Policy. Incorporated by reference to Exhibit 97.1 to Form 10-K for the year ended December</w:t>
              </w:r>
            </w:hyperlink>
          </w:p>
        </w:tc>
      </w:tr>
      <w:tr>
        <w:trPr>
          <w:trHeight w:val="155"/>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 xml:space="preserve">31, 2023. </w:t>
              </w:r>
              <w:r>
                <w:rPr>
                  <w:rFonts w:ascii="Times New Roman" w:cs="Times New Roman" w:eastAsia="Times New Roman" w:hAnsi="Times New Roman"/>
                  <w:sz w:val="18"/>
                  <w:szCs w:val="18"/>
                  <w:color w:val="000000"/>
                </w:rPr>
                <w:t>(2)</w:t>
              </w:r>
            </w:hyperlink>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760" w:type="dxa"/>
            <w:vAlign w:val="bottom"/>
            <w:gridSpan w:val="29"/>
          </w:tcPr>
          <w:p>
            <w:pPr>
              <w:spacing w:after="0" w:line="20" w:lineRule="exact"/>
              <w:rPr>
                <w:sz w:val="1"/>
                <w:szCs w:val="1"/>
                <w:color w:val="auto"/>
              </w:rPr>
            </w:pPr>
          </w:p>
        </w:tc>
      </w:tr>
      <w:tr>
        <w:trPr>
          <w:trHeight w:val="358"/>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w:t>
            </w:r>
          </w:p>
        </w:tc>
      </w:tr>
      <w:tr>
        <w:trPr>
          <w:trHeight w:val="234"/>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38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78"/>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78"/>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78"/>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78"/>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0139"/>
          </w:cols>
          <w:pgMar w:left="3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20" w:hanging="129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71" w:lineRule="exact"/>
        <w:rPr>
          <w:rFonts w:ascii="Times New Roman" w:cs="Times New Roman" w:eastAsia="Times New Roman" w:hAnsi="Times New Roman"/>
          <w:sz w:val="18"/>
          <w:szCs w:val="18"/>
          <w:color w:val="auto"/>
        </w:rPr>
      </w:pPr>
    </w:p>
    <w:p>
      <w:pPr>
        <w:ind w:left="1360" w:hanging="254"/>
        <w:spacing w:after="0"/>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27" w:lineRule="exact"/>
        <w:rPr>
          <w:rFonts w:ascii="Times New Roman" w:cs="Times New Roman" w:eastAsia="Times New Roman" w:hAnsi="Times New Roman"/>
          <w:sz w:val="18"/>
          <w:szCs w:val="18"/>
          <w:color w:val="auto"/>
        </w:rPr>
      </w:pPr>
    </w:p>
    <w:p>
      <w:pPr>
        <w:ind w:left="1360" w:hanging="254"/>
        <w:spacing w:after="0"/>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agreement.</w:t>
      </w:r>
    </w:p>
    <w:p>
      <w:pPr>
        <w:spacing w:after="0" w:line="22" w:lineRule="exact"/>
        <w:rPr>
          <w:rFonts w:ascii="Times New Roman" w:cs="Times New Roman" w:eastAsia="Times New Roman" w:hAnsi="Times New Roman"/>
          <w:sz w:val="18"/>
          <w:szCs w:val="18"/>
          <w:color w:val="auto"/>
        </w:rPr>
      </w:pPr>
    </w:p>
    <w:p>
      <w:pPr>
        <w:ind w:left="1100" w:right="779" w:firstLine="6"/>
        <w:spacing w:after="0" w:line="234" w:lineRule="auto"/>
        <w:tabs>
          <w:tab w:leader="none" w:pos="13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 of Regulation S-K, certain exhibits and schedules have been omitted. The registrant hereby agrees to furnish supplementally a copy of any omitted exhibit or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H2O AMERICA</w:t>
      </w:r>
    </w:p>
    <w:p>
      <w:pPr>
        <w:spacing w:after="0" w:line="77" w:lineRule="exact"/>
        <w:rPr>
          <w:sz w:val="20"/>
          <w:szCs w:val="20"/>
          <w:color w:val="auto"/>
        </w:rPr>
      </w:pPr>
    </w:p>
    <w:p>
      <w:pPr>
        <w:ind w:left="200"/>
        <w:spacing w:after="0"/>
        <w:tabs>
          <w:tab w:leader="none" w:pos="5520" w:val="left"/>
          <w:tab w:leader="none" w:pos="770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ANDREW F. WALTERS,</w:t>
      </w:r>
    </w:p>
    <w:p>
      <w:pPr>
        <w:jc w:val="center"/>
        <w:ind w:left="5760"/>
        <w:spacing w:after="0" w:line="221" w:lineRule="auto"/>
        <w:rPr>
          <w:sz w:val="20"/>
          <w:szCs w:val="20"/>
          <w:color w:val="auto"/>
        </w:rPr>
      </w:pPr>
      <w:r>
        <w:rPr>
          <w:rFonts w:ascii="Times New Roman" w:cs="Times New Roman" w:eastAsia="Times New Roman" w:hAnsi="Times New Roman"/>
          <w:sz w:val="18"/>
          <w:szCs w:val="18"/>
          <w:color w:val="auto"/>
        </w:rPr>
        <w:t>Chief Executive Officer and</w:t>
      </w:r>
    </w:p>
    <w:p>
      <w:pPr>
        <w:jc w:val="center"/>
        <w:ind w:left="5760"/>
        <w:spacing w:after="0" w:line="203" w:lineRule="auto"/>
        <w:rPr>
          <w:sz w:val="20"/>
          <w:szCs w:val="20"/>
          <w:color w:val="auto"/>
        </w:rPr>
      </w:pPr>
      <w:r>
        <w:rPr>
          <w:rFonts w:ascii="Times New Roman" w:cs="Times New Roman" w:eastAsia="Times New Roman" w:hAnsi="Times New Roman"/>
          <w:sz w:val="18"/>
          <w:szCs w:val="18"/>
          <w:color w:val="auto"/>
        </w:rPr>
        <w:t>Chair of the Board</w:t>
      </w:r>
    </w:p>
    <w:p>
      <w:pPr>
        <w:spacing w:after="0" w:line="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p>
      <w:pPr>
        <w:ind w:left="200"/>
        <w:spacing w:after="0"/>
        <w:tabs>
          <w:tab w:leader="none" w:pos="5520" w:val="left"/>
          <w:tab w:leader="none" w:pos="770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ANDREW F. WALTERS,</w:t>
      </w:r>
    </w:p>
    <w:p>
      <w:pPr>
        <w:jc w:val="center"/>
        <w:ind w:left="5760"/>
        <w:spacing w:after="0" w:line="234" w:lineRule="auto"/>
        <w:rPr>
          <w:sz w:val="20"/>
          <w:szCs w:val="20"/>
          <w:color w:val="auto"/>
        </w:rPr>
      </w:pPr>
      <w:r>
        <w:rPr>
          <w:rFonts w:ascii="Times New Roman" w:cs="Times New Roman" w:eastAsia="Times New Roman" w:hAnsi="Times New Roman"/>
          <w:sz w:val="18"/>
          <w:szCs w:val="18"/>
          <w:color w:val="auto"/>
        </w:rPr>
        <w:t>Chief Executive Officer and</w:t>
      </w:r>
    </w:p>
    <w:p>
      <w:pPr>
        <w:jc w:val="center"/>
        <w:ind w:left="5760"/>
        <w:spacing w:after="0" w:line="204" w:lineRule="auto"/>
        <w:rPr>
          <w:sz w:val="20"/>
          <w:szCs w:val="20"/>
          <w:color w:val="auto"/>
        </w:rPr>
      </w:pPr>
      <w:r>
        <w:rPr>
          <w:rFonts w:ascii="Times New Roman" w:cs="Times New Roman" w:eastAsia="Times New Roman" w:hAnsi="Times New Roman"/>
          <w:sz w:val="18"/>
          <w:szCs w:val="18"/>
          <w:color w:val="auto"/>
        </w:rPr>
        <w:t>Chair of the Board</w:t>
      </w:r>
    </w:p>
    <w:p>
      <w:pPr>
        <w:jc w:val="cente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0" w:lineRule="exact"/>
        <w:rPr>
          <w:sz w:val="20"/>
          <w:szCs w:val="20"/>
          <w:color w:val="auto"/>
        </w:rPr>
      </w:pPr>
    </w:p>
    <w:p>
      <w:pPr>
        <w:ind w:left="200"/>
        <w:spacing w:after="0"/>
        <w:tabs>
          <w:tab w:leader="none" w:pos="5520" w:val="left"/>
          <w:tab w:leader="none" w:pos="792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ANN P. KELLY,</w:t>
      </w:r>
    </w:p>
    <w:p>
      <w:pPr>
        <w:jc w:val="center"/>
        <w:ind w:left="5760"/>
        <w:spacing w:after="0" w:line="219" w:lineRule="auto"/>
        <w:rPr>
          <w:sz w:val="20"/>
          <w:szCs w:val="20"/>
          <w:color w:val="auto"/>
        </w:rPr>
      </w:pPr>
      <w:r>
        <w:rPr>
          <w:rFonts w:ascii="Times New Roman" w:cs="Times New Roman" w:eastAsia="Times New Roman" w:hAnsi="Times New Roman"/>
          <w:sz w:val="18"/>
          <w:szCs w:val="18"/>
          <w:color w:val="auto"/>
        </w:rPr>
        <w:t>Chief Financial Officer and Treasurer</w:t>
      </w:r>
    </w:p>
    <w:p>
      <w:pPr>
        <w:ind w:left="7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84" w:lineRule="exact"/>
        <w:rPr>
          <w:sz w:val="20"/>
          <w:szCs w:val="20"/>
          <w:color w:val="auto"/>
        </w:rPr>
      </w:pPr>
    </w:p>
    <w:p>
      <w:pPr>
        <w:ind w:left="200"/>
        <w:spacing w:after="0"/>
        <w:tabs>
          <w:tab w:leader="none" w:pos="5520" w:val="left"/>
          <w:tab w:leader="none" w:pos="782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Mattern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MEGAN MATTERN,</w:t>
      </w:r>
    </w:p>
    <w:p>
      <w:pPr>
        <w:jc w:val="center"/>
        <w:ind w:left="5760"/>
        <w:spacing w:after="0" w:line="219" w:lineRule="auto"/>
        <w:rPr>
          <w:sz w:val="20"/>
          <w:szCs w:val="20"/>
          <w:color w:val="auto"/>
        </w:rPr>
      </w:pPr>
      <w:r>
        <w:rPr>
          <w:rFonts w:ascii="Times New Roman" w:cs="Times New Roman" w:eastAsia="Times New Roman" w:hAnsi="Times New Roman"/>
          <w:sz w:val="18"/>
          <w:szCs w:val="18"/>
          <w:color w:val="auto"/>
        </w:rPr>
        <w:t>Chief Accounting Officer</w:t>
      </w:r>
    </w:p>
    <w:p>
      <w:pPr>
        <w:ind w:left="7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ind w:left="200"/>
        <w:spacing w:after="0"/>
        <w:tabs>
          <w:tab w:leader="none" w:pos="5520" w:val="left"/>
          <w:tab w:leader="none" w:pos="786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CARL GUARDINO,</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70" w:lineRule="exact"/>
        <w:rPr>
          <w:sz w:val="20"/>
          <w:szCs w:val="20"/>
          <w:color w:val="auto"/>
        </w:rPr>
      </w:pPr>
    </w:p>
    <w:p>
      <w:pPr>
        <w:ind w:left="200"/>
        <w:spacing w:after="0"/>
        <w:tabs>
          <w:tab w:leader="none" w:pos="5520" w:val="left"/>
          <w:tab w:leader="none" w:pos="772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Mary Ann Hanley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MARY ANN HANLEY,</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70" w:lineRule="exact"/>
        <w:rPr>
          <w:sz w:val="20"/>
          <w:szCs w:val="20"/>
          <w:color w:val="auto"/>
        </w:rPr>
      </w:pPr>
    </w:p>
    <w:p>
      <w:pPr>
        <w:ind w:left="200"/>
        <w:spacing w:after="0"/>
        <w:tabs>
          <w:tab w:leader="none" w:pos="5520" w:val="left"/>
          <w:tab w:leader="none" w:pos="790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Heather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HEATHER HUNT,</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70" w:lineRule="exact"/>
        <w:rPr>
          <w:sz w:val="20"/>
          <w:szCs w:val="20"/>
          <w:color w:val="auto"/>
        </w:rPr>
      </w:pPr>
    </w:p>
    <w:p>
      <w:pPr>
        <w:ind w:left="200"/>
        <w:spacing w:after="0"/>
        <w:tabs>
          <w:tab w:leader="none" w:pos="5520" w:val="left"/>
          <w:tab w:leader="none" w:pos="774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REBECCA A. KLEIN,</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70" w:lineRule="exact"/>
        <w:rPr>
          <w:sz w:val="20"/>
          <w:szCs w:val="20"/>
          <w:color w:val="auto"/>
        </w:rPr>
      </w:pPr>
    </w:p>
    <w:p>
      <w:pPr>
        <w:ind w:left="200"/>
        <w:spacing w:after="0"/>
        <w:tabs>
          <w:tab w:leader="none" w:pos="5520" w:val="left"/>
          <w:tab w:leader="none" w:pos="776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Denise L.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626110</wp:posOffset>
            </wp:positionV>
            <wp:extent cx="34715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DENISE L. KRUGER,</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ind w:left="200"/>
        <w:spacing w:after="0"/>
        <w:tabs>
          <w:tab w:leader="none" w:pos="5520" w:val="left"/>
          <w:tab w:leader="none" w:pos="772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GREGORY P. LANDIS,</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ind w:left="200"/>
        <w:spacing w:after="0"/>
        <w:tabs>
          <w:tab w:leader="none" w:pos="5520" w:val="left"/>
          <w:tab w:leader="none" w:pos="782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DANIEL B. MORE,</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ind w:left="200"/>
        <w:spacing w:after="0"/>
        <w:tabs>
          <w:tab w:leader="none" w:pos="5520" w:val="left"/>
          <w:tab w:leader="none" w:pos="778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 P.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CAROL P. WALLACE,</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139"/>
          </w:cols>
          <w:pgMar w:left="320" w:top="121" w:right="1440" w:bottom="1440" w:gutter="0" w:footer="0" w:header="0"/>
        </w:sectPr>
      </w:pPr>
    </w:p>
    <w:bookmarkStart w:id="105" w:name="page106"/>
    <w:bookmarkEnd w:id="105"/>
    <w:p>
      <w:pPr>
        <w:ind w:left="7140"/>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 JOSE WATER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SUPPLEMENTAL RETIREMENT PLAN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(As Amended and Restated Effective January 1, 2012 and as Further Amended November 15, 2016 and October 9, 2019)</w:t>
      </w:r>
    </w:p>
    <w:p>
      <w:pPr>
        <w:spacing w:after="0" w:line="25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San Jose Water Company (the “Company”) maintains the San Jose Water Company Executive 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Plan (the “SERP”);</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name of the corporate parent of the company has been changed from SJW Group to H20 America;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wishes to amend the SERP to reflect the name change;</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wishes to amend the SERP to clarify that equity compensation is not included in the definition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Compensation used in the SERP for determination of benefits; and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8.1 of the SERP permits the Board of Directors to amend the SERP;</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SERP is hereby amended as follows effective January 1, 2026:</w:t>
      </w:r>
    </w:p>
    <w:p>
      <w:pPr>
        <w:spacing w:after="0" w:line="237"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“SJW Group” in the SERP shall be replaced with references to “H2O America.”</w:t>
      </w:r>
    </w:p>
    <w:p>
      <w:pPr>
        <w:spacing w:after="0" w:line="219" w:lineRule="exact"/>
        <w:rPr>
          <w:rFonts w:ascii="Times New Roman" w:cs="Times New Roman" w:eastAsia="Times New Roman" w:hAnsi="Times New Roman"/>
          <w:sz w:val="22"/>
          <w:szCs w:val="22"/>
          <w:color w:val="auto"/>
        </w:rPr>
      </w:pPr>
    </w:p>
    <w:p>
      <w:pPr>
        <w:ind w:right="20" w:firstLine="8"/>
        <w:spacing w:after="0" w:line="271" w:lineRule="auto"/>
        <w:tabs>
          <w:tab w:leader="none" w:pos="32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1.11 of the Plan is hereby amended in its entirety to read as follows (deletions shown in </w:t>
      </w:r>
      <w:r>
        <w:rPr>
          <w:rFonts w:ascii="Times New Roman" w:cs="Times New Roman" w:eastAsia="Times New Roman" w:hAnsi="Times New Roman"/>
          <w:sz w:val="22"/>
          <w:szCs w:val="22"/>
          <w:color w:val="auto"/>
          <w:strike w:val="1"/>
        </w:rPr>
        <w:t>strikethrough</w:t>
      </w:r>
      <w:r>
        <w:rPr>
          <w:rFonts w:ascii="Times New Roman" w:cs="Times New Roman" w:eastAsia="Times New Roman" w:hAnsi="Times New Roman"/>
          <w:sz w:val="22"/>
          <w:szCs w:val="22"/>
          <w:color w:val="auto"/>
        </w:rPr>
        <w:t xml:space="preserve">, additions in </w:t>
      </w:r>
      <w:r>
        <w:rPr>
          <w:rFonts w:ascii="Times New Roman" w:cs="Times New Roman" w:eastAsia="Times New Roman" w:hAnsi="Times New Roman"/>
          <w:sz w:val="22"/>
          <w:szCs w:val="22"/>
          <w:b w:val="1"/>
          <w:bCs w:val="1"/>
          <w:i w:val="1"/>
          <w:iCs w:val="1"/>
          <w:color w:val="auto"/>
        </w:rPr>
        <w:t>bold italics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660" w:firstLine="468"/>
        <w:spacing w:after="0" w:line="24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for any calendar month, the salary earned by a Participant for such month, whether or not actually paid in that month, plus any annual cash performance bonus that is paid to the Participant in such month plus any portion of such bonus that would have been paid in such month in the absence of the Participant’s deferral election or other deferred payment provision applicable to such compensation. </w:t>
      </w:r>
      <w:r>
        <w:rPr>
          <w:rFonts w:ascii="Times New Roman" w:cs="Times New Roman" w:eastAsia="Times New Roman" w:hAnsi="Times New Roman"/>
          <w:sz w:val="22"/>
          <w:szCs w:val="22"/>
          <w:b w:val="1"/>
          <w:bCs w:val="1"/>
          <w:i w:val="1"/>
          <w:iCs w:val="1"/>
          <w:color w:val="auto"/>
        </w:rPr>
        <w:t>For the avoidance of doubt,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compensation and equity-based compensation (e.g., restricted stock units) is not included in the term “Compensation.” </w:t>
      </w:r>
      <w:r>
        <w:rPr>
          <w:rFonts w:ascii="Times New Roman" w:cs="Times New Roman" w:eastAsia="Times New Roman" w:hAnsi="Times New Roman"/>
          <w:sz w:val="22"/>
          <w:szCs w:val="22"/>
          <w:color w:val="auto"/>
        </w:rPr>
        <w:t>Any deferred cash performance bonus taken into account as Compensation for the month in which such bonus would have been paid in the absence of a deferral provision or election shall not again be taken into account as Compensation in the month in which that deferred bonus is actually paid. No other bonus or special compensation will be included, except to the extent expressly provided otherwise, in accordance with the applicable provisions of Code Section 409A, by the Committee administering this Plan.”</w:t>
      </w:r>
    </w:p>
    <w:p>
      <w:pPr>
        <w:sectPr>
          <w:pgSz w:w="11900" w:h="16838" w:orient="portrait"/>
          <w:cols w:equalWidth="0" w:num="1">
            <w:col w:w="11240"/>
          </w:cols>
          <w:pgMar w:left="320" w:top="122"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3.  A new Section 1.21A is added to the Plan to read as follows:</w:t>
      </w:r>
    </w:p>
    <w:p>
      <w:pPr>
        <w:spacing w:after="0" w:line="216" w:lineRule="exact"/>
        <w:rPr>
          <w:sz w:val="20"/>
          <w:szCs w:val="20"/>
          <w:color w:val="auto"/>
        </w:rPr>
      </w:pPr>
    </w:p>
    <w:p>
      <w:pPr>
        <w:jc w:val="both"/>
        <w:ind w:left="1300"/>
        <w:spacing w:after="0" w:line="265" w:lineRule="auto"/>
        <w:rPr>
          <w:sz w:val="20"/>
          <w:szCs w:val="20"/>
          <w:color w:val="auto"/>
        </w:rPr>
      </w:pPr>
      <w:r>
        <w:rPr>
          <w:rFonts w:ascii="Times New Roman" w:cs="Times New Roman" w:eastAsia="Times New Roman" w:hAnsi="Times New Roman"/>
          <w:sz w:val="22"/>
          <w:szCs w:val="22"/>
          <w:color w:val="auto"/>
        </w:rPr>
        <w:t>Section 1.21A “</w:t>
      </w:r>
      <w:r>
        <w:rPr>
          <w:rFonts w:ascii="Times New Roman" w:cs="Times New Roman" w:eastAsia="Times New Roman" w:hAnsi="Times New Roman"/>
          <w:sz w:val="22"/>
          <w:szCs w:val="22"/>
          <w:b w:val="1"/>
          <w:bCs w:val="1"/>
          <w:color w:val="auto"/>
        </w:rPr>
        <w:t>H2O America.</w:t>
      </w:r>
      <w:r>
        <w:rPr>
          <w:rFonts w:ascii="Times New Roman" w:cs="Times New Roman" w:eastAsia="Times New Roman" w:hAnsi="Times New Roman"/>
          <w:sz w:val="22"/>
          <w:szCs w:val="22"/>
          <w:color w:val="auto"/>
        </w:rPr>
        <w:t>” The term “H2O America” refers to the Delaware corporation (formerly known as SJW Group), which is the corporate parent of the Company, or any successor to all or a major portion of the assets or business of H2O America.</w:t>
      </w:r>
    </w:p>
    <w:p>
      <w:pPr>
        <w:spacing w:after="0" w:line="16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1.31 defining SJW Group is deleted in its entirety the Plan in its entirety.</w:t>
      </w:r>
    </w:p>
    <w:p>
      <w:pPr>
        <w:spacing w:after="0" w:line="219"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modified by this Third Amendment, all the terms and provisions of the Plan shall continue in full force and effect.</w:t>
      </w:r>
    </w:p>
    <w:p>
      <w:pPr>
        <w:spacing w:after="0" w:line="227" w:lineRule="exact"/>
        <w:rPr>
          <w:sz w:val="20"/>
          <w:szCs w:val="20"/>
          <w:color w:val="auto"/>
        </w:rPr>
      </w:pPr>
    </w:p>
    <w:p>
      <w:pPr>
        <w:ind w:firstLine="28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San Jose Water Company has caused this Third Amendment to the Plan of be executed on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by its duly-authorized officer on this _____ day of ________________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SAN JOSE WATER COMPANY</w:t>
      </w: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w:t>
      </w:r>
    </w:p>
    <w:p>
      <w:pPr>
        <w:spacing w:after="0" w:line="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Andrew F. Walters</w:t>
      </w:r>
    </w:p>
    <w:p>
      <w:pPr>
        <w:spacing w:after="0" w:line="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Chief Executive Officer and</w:t>
      </w:r>
    </w:p>
    <w:p>
      <w:pPr>
        <w:spacing w:after="0" w:line="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Chairman of the Board of Directors</w:t>
      </w:r>
    </w:p>
    <w:p>
      <w:pPr>
        <w:sectPr>
          <w:pgSz w:w="11900" w:h="16838" w:orient="portrait"/>
          <w:cols w:equalWidth="0" w:num="1">
            <w:col w:w="11240"/>
          </w:cols>
          <w:pgMar w:left="320" w:top="1422" w:right="339" w:bottom="1440" w:gutter="0" w:footer="0" w:header="0"/>
        </w:sectPr>
      </w:pPr>
    </w:p>
    <w:bookmarkStart w:id="107" w:name="page108"/>
    <w:bookmarkEnd w:id="107"/>
    <w:p>
      <w:pPr>
        <w:ind w:left="7140"/>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SEVENTH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 JOSE WATER COMPANY CASH BALANCE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SUPPLEMENTAL RETIREMENT PLAN</w:t>
      </w:r>
    </w:p>
    <w:p>
      <w:pPr>
        <w:spacing w:after="0" w:line="196" w:lineRule="exact"/>
        <w:rPr>
          <w:sz w:val="20"/>
          <w:szCs w:val="20"/>
          <w:color w:val="auto"/>
        </w:rPr>
      </w:pPr>
    </w:p>
    <w:p>
      <w:pPr>
        <w:jc w:val="center"/>
        <w:ind w:left="340" w:right="320"/>
        <w:spacing w:after="0" w:line="284" w:lineRule="auto"/>
        <w:rPr>
          <w:sz w:val="20"/>
          <w:szCs w:val="20"/>
          <w:color w:val="auto"/>
        </w:rPr>
      </w:pPr>
      <w:r>
        <w:rPr>
          <w:rFonts w:ascii="Times New Roman" w:cs="Times New Roman" w:eastAsia="Times New Roman" w:hAnsi="Times New Roman"/>
          <w:sz w:val="22"/>
          <w:szCs w:val="22"/>
          <w:color w:val="auto"/>
        </w:rPr>
        <w:t>(Amended and Restated on January 25, 2012, Effective as of January 1, 2012, and As Further Amended October 30, 2013, January 31, 2014, November 15, 2016, November 6, 2017, October 24, 2018 and October 9, 2019)</w:t>
      </w:r>
    </w:p>
    <w:p>
      <w:pPr>
        <w:spacing w:after="0" w:line="24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San Jose Water Company (the “Company”) maintains the San Jose Water Company Cash Balance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Supplement Retirement Plan (the “Cash Balance SERP”);</w:t>
      </w:r>
    </w:p>
    <w:p>
      <w:pPr>
        <w:spacing w:after="0" w:line="149" w:lineRule="exact"/>
        <w:rPr>
          <w:sz w:val="20"/>
          <w:szCs w:val="20"/>
          <w:color w:val="auto"/>
        </w:rPr>
      </w:pPr>
    </w:p>
    <w:p>
      <w:pPr>
        <w:ind w:left="660" w:right="540"/>
        <w:spacing w:after="0" w:line="4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name of the corporate parent of the company has been changed from SJW Group to H20 America;</w:t>
      </w:r>
      <w:r>
        <w:rPr>
          <w:rFonts w:ascii="Times New Roman" w:cs="Times New Roman" w:eastAsia="Times New Roman" w:hAnsi="Times New Roman"/>
          <w:sz w:val="22"/>
          <w:szCs w:val="22"/>
          <w:b w:val="1"/>
          <w:bCs w:val="1"/>
          <w:color w:val="auto"/>
        </w:rPr>
        <w:t xml:space="preserve"> WHEREAS</w:t>
      </w:r>
      <w:r>
        <w:rPr>
          <w:rFonts w:ascii="Times New Roman" w:cs="Times New Roman" w:eastAsia="Times New Roman" w:hAnsi="Times New Roman"/>
          <w:sz w:val="22"/>
          <w:szCs w:val="22"/>
          <w:color w:val="auto"/>
        </w:rPr>
        <w:t>, the Company wishes to amend the Cash Balance SERP to reflect the name change;</w:t>
      </w:r>
    </w:p>
    <w:p>
      <w:pPr>
        <w:spacing w:after="0" w:line="1"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wishes to amend the Cash Balance SERP to clarify that equity compensation is not included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definition of Compensation used in the Cash Balance SERP for determination of benefits; and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8.1 of the Cash Balance SERP permits the Board of Directors to amend the Cash Balance SERP;</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Cash Balance SERP is hereby amended as follows effective January 1, 2026:</w:t>
      </w:r>
    </w:p>
    <w:p>
      <w:pPr>
        <w:spacing w:after="0" w:line="237"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“SJW Group” in the Cash Balance SERP shall be replaced with references to “H2O America.”</w:t>
      </w:r>
    </w:p>
    <w:p>
      <w:pPr>
        <w:spacing w:after="0" w:line="21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1.10 is amended to read as follows (deletions shown in </w:t>
      </w:r>
      <w:r>
        <w:rPr>
          <w:rFonts w:ascii="Times New Roman" w:cs="Times New Roman" w:eastAsia="Times New Roman" w:hAnsi="Times New Roman"/>
          <w:sz w:val="22"/>
          <w:szCs w:val="22"/>
          <w:color w:val="auto"/>
          <w:strike w:val="1"/>
        </w:rPr>
        <w:t>strikethrough</w:t>
      </w:r>
      <w:r>
        <w:rPr>
          <w:rFonts w:ascii="Times New Roman" w:cs="Times New Roman" w:eastAsia="Times New Roman" w:hAnsi="Times New Roman"/>
          <w:sz w:val="22"/>
          <w:szCs w:val="22"/>
          <w:color w:val="auto"/>
        </w:rPr>
        <w:t xml:space="preserve">, additions in </w:t>
      </w:r>
      <w:r>
        <w:rPr>
          <w:rFonts w:ascii="Times New Roman" w:cs="Times New Roman" w:eastAsia="Times New Roman" w:hAnsi="Times New Roman"/>
          <w:sz w:val="22"/>
          <w:szCs w:val="22"/>
          <w:b w:val="1"/>
          <w:bCs w:val="1"/>
          <w:i w:val="1"/>
          <w:iCs w:val="1"/>
          <w:color w:val="auto"/>
        </w:rPr>
        <w:t>bold italics</w:t>
      </w:r>
      <w:r>
        <w:rPr>
          <w:rFonts w:ascii="Times New Roman" w:cs="Times New Roman" w:eastAsia="Times New Roman" w:hAnsi="Times New Roman"/>
          <w:sz w:val="22"/>
          <w:szCs w:val="22"/>
          <w:color w:val="auto"/>
        </w:rPr>
        <w:t>):</w:t>
      </w:r>
    </w:p>
    <w:p>
      <w:pPr>
        <w:spacing w:after="0" w:line="221" w:lineRule="exact"/>
        <w:rPr>
          <w:rFonts w:ascii="Times New Roman" w:cs="Times New Roman" w:eastAsia="Times New Roman" w:hAnsi="Times New Roman"/>
          <w:sz w:val="22"/>
          <w:szCs w:val="22"/>
          <w:color w:val="auto"/>
        </w:rPr>
      </w:pPr>
    </w:p>
    <w:p>
      <w:pPr>
        <w:jc w:val="both"/>
        <w:ind w:left="1300"/>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1.10 </w:t>
      </w: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 The term “Compensation” means the salary earned by a Participant during a Plan Quarter or other relevant period under the Plan, whether or not actually paid in that Plan Quarter or period, plus any annual cash performance bonus that is paid to such Participant during such Plan Quarter or other relevant period plus any portion of such bonus that would have been paid in such Plan Quarter or period in the absence of the Participant’s deferral election or other deferred payment provision applicable to such compensation. Any deferred cash performance bonus taken into account as Compensation for the Plan Quarter or other relevant period in which such bonus would have been paid in the absence of a deferral provision or election shall not again be taken into account as Compensation in the Plan Quarter or other relevant period in which that deferred bonus is actually paid. No other bonus or special compensation will be included,</w:t>
      </w:r>
    </w:p>
    <w:p>
      <w:pPr>
        <w:sectPr>
          <w:pgSz w:w="11900" w:h="16838" w:orient="portrait"/>
          <w:cols w:equalWidth="0" w:num="1">
            <w:col w:w="11240"/>
          </w:cols>
          <w:pgMar w:left="320" w:top="117" w:right="339" w:bottom="1440" w:gutter="0" w:footer="0" w:header="0"/>
        </w:sectPr>
      </w:pPr>
    </w:p>
    <w:bookmarkStart w:id="108" w:name="page109"/>
    <w:bookmarkEnd w:id="108"/>
    <w:p>
      <w:pPr>
        <w:spacing w:after="0" w:line="131" w:lineRule="exact"/>
        <w:rPr>
          <w:sz w:val="20"/>
          <w:szCs w:val="20"/>
          <w:color w:val="auto"/>
        </w:rPr>
      </w:pPr>
    </w:p>
    <w:p>
      <w:pPr>
        <w:jc w:val="both"/>
        <w:ind w:left="644" w:right="20"/>
        <w:spacing w:after="0" w:line="257" w:lineRule="auto"/>
        <w:rPr>
          <w:sz w:val="20"/>
          <w:szCs w:val="20"/>
          <w:color w:val="auto"/>
        </w:rPr>
      </w:pPr>
      <w:r>
        <w:rPr>
          <w:rFonts w:ascii="Times New Roman" w:cs="Times New Roman" w:eastAsia="Times New Roman" w:hAnsi="Times New Roman"/>
          <w:sz w:val="22"/>
          <w:szCs w:val="22"/>
          <w:color w:val="auto"/>
        </w:rPr>
        <w:t xml:space="preserve">except to the extent expressly provided otherwise, in accordance with the applicable provisions of Code Section 409A, by the Committee administering this Plan. </w:t>
      </w:r>
      <w:r>
        <w:rPr>
          <w:rFonts w:ascii="Times New Roman" w:cs="Times New Roman" w:eastAsia="Times New Roman" w:hAnsi="Times New Roman"/>
          <w:sz w:val="22"/>
          <w:szCs w:val="22"/>
          <w:b w:val="1"/>
          <w:bCs w:val="1"/>
          <w:i w:val="1"/>
          <w:iCs w:val="1"/>
          <w:color w:val="auto"/>
        </w:rPr>
        <w:t>For the avoidance of doubt, equity compensation and equity-based compensation (e.g., restricted stock units) is not included in the term “Compensation.”</w:t>
      </w:r>
    </w:p>
    <w:p>
      <w:pPr>
        <w:spacing w:after="0" w:line="173" w:lineRule="exact"/>
        <w:rPr>
          <w:sz w:val="20"/>
          <w:szCs w:val="20"/>
          <w:color w:val="auto"/>
        </w:rPr>
      </w:pPr>
    </w:p>
    <w:p>
      <w:pPr>
        <w:ind w:left="644" w:hanging="644"/>
        <w:spacing w:after="0"/>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Section 1.19A is added to read as follows:</w:t>
      </w:r>
    </w:p>
    <w:p>
      <w:pPr>
        <w:spacing w:after="0" w:line="215" w:lineRule="exact"/>
        <w:rPr>
          <w:rFonts w:ascii="Times New Roman" w:cs="Times New Roman" w:eastAsia="Times New Roman" w:hAnsi="Times New Roman"/>
          <w:sz w:val="22"/>
          <w:szCs w:val="22"/>
          <w:color w:val="auto"/>
        </w:rPr>
      </w:pPr>
    </w:p>
    <w:p>
      <w:pPr>
        <w:jc w:val="both"/>
        <w:ind w:left="644"/>
        <w:spacing w:after="0" w:line="27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1.19A “</w:t>
      </w:r>
      <w:r>
        <w:rPr>
          <w:rFonts w:ascii="Times New Roman" w:cs="Times New Roman" w:eastAsia="Times New Roman" w:hAnsi="Times New Roman"/>
          <w:sz w:val="22"/>
          <w:szCs w:val="22"/>
          <w:b w:val="1"/>
          <w:bCs w:val="1"/>
          <w:color w:val="auto"/>
        </w:rPr>
        <w:t>H2O America.</w:t>
      </w:r>
      <w:r>
        <w:rPr>
          <w:rFonts w:ascii="Times New Roman" w:cs="Times New Roman" w:eastAsia="Times New Roman" w:hAnsi="Times New Roman"/>
          <w:sz w:val="22"/>
          <w:szCs w:val="22"/>
          <w:color w:val="auto"/>
        </w:rPr>
        <w:t>” The term “H2O America” refers to the Delaware corporation (formerly known as SJW Group), which is the corporate parent of the Company, or any successor to all or a major portion of the assets or business of H2O America.</w:t>
      </w:r>
    </w:p>
    <w:p>
      <w:pPr>
        <w:spacing w:after="0" w:line="16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1.27 defining SJW Group is deleted in its entirety.</w:t>
      </w:r>
    </w:p>
    <w:p>
      <w:pPr>
        <w:spacing w:after="0" w:line="233"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 is amended to add a new Section 6.4 to read as follows:</w:t>
      </w:r>
    </w:p>
    <w:p>
      <w:pPr>
        <w:spacing w:after="0" w:line="219" w:lineRule="exact"/>
        <w:rPr>
          <w:rFonts w:ascii="Times New Roman" w:cs="Times New Roman" w:eastAsia="Times New Roman" w:hAnsi="Times New Roman"/>
          <w:sz w:val="22"/>
          <w:szCs w:val="22"/>
          <w:color w:val="auto"/>
        </w:rPr>
      </w:pP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Special Provisions for Designated Executives</w:t>
      </w:r>
      <w:r>
        <w:rPr>
          <w:rFonts w:ascii="Times New Roman" w:cs="Times New Roman" w:eastAsia="Times New Roman" w:hAnsi="Times New Roman"/>
          <w:sz w:val="22"/>
          <w:szCs w:val="22"/>
          <w:color w:val="auto"/>
        </w:rPr>
        <w:t>.</w:t>
      </w:r>
    </w:p>
    <w:p>
      <w:pPr>
        <w:spacing w:after="0" w:line="119" w:lineRule="exact"/>
        <w:rPr>
          <w:rFonts w:ascii="Times New Roman" w:cs="Times New Roman" w:eastAsia="Times New Roman" w:hAnsi="Times New Roman"/>
          <w:sz w:val="22"/>
          <w:szCs w:val="22"/>
          <w:color w:val="auto"/>
        </w:rPr>
      </w:pPr>
    </w:p>
    <w:p>
      <w:pPr>
        <w:jc w:val="both"/>
        <w:ind w:left="4" w:firstLine="644"/>
        <w:spacing w:after="0" w:line="261" w:lineRule="auto"/>
        <w:tabs>
          <w:tab w:leader="none" w:pos="112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participation in the Plan by the Eligible Employees listed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i w:val="1"/>
          <w:iCs w:val="1"/>
          <w:color w:val="auto"/>
        </w:rPr>
        <w:t>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Executives</w:t>
      </w:r>
      <w:r>
        <w:rPr>
          <w:rFonts w:ascii="Times New Roman" w:cs="Times New Roman" w:eastAsia="Times New Roman" w:hAnsi="Times New Roman"/>
          <w:sz w:val="22"/>
          <w:szCs w:val="22"/>
          <w:color w:val="auto"/>
        </w:rPr>
        <w:t>”) shall be subject to the modifications in this Section 6.4(a) of the terms and provisions otherwise in effect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all other Participants in the Plan and shall, accordingly, apply to and govern their Compensation Credits under the Plan. For each Plan Quarter beginning on or after January 1, 2026 that the Designated Executive remains an Eligible Employee who is participating in the Plan, Compensation Credits shall be made to the Designated Executive’s Account in an amount determined in accordance with the provisions of Section 3.2(a) of the Plan but based on 30% in lieu of the percentage set forth in the chart that appears in such Section 3.2(a).</w:t>
      </w:r>
    </w:p>
    <w:p>
      <w:pPr>
        <w:spacing w:after="0" w:line="78" w:lineRule="exact"/>
        <w:rPr>
          <w:rFonts w:ascii="Times New Roman" w:cs="Times New Roman" w:eastAsia="Times New Roman" w:hAnsi="Times New Roman"/>
          <w:sz w:val="22"/>
          <w:szCs w:val="22"/>
          <w:color w:val="auto"/>
        </w:rPr>
      </w:pPr>
    </w:p>
    <w:p>
      <w:pPr>
        <w:jc w:val="both"/>
        <w:ind w:left="4" w:right="20" w:firstLine="644"/>
        <w:spacing w:after="0" w:line="309" w:lineRule="auto"/>
        <w:tabs>
          <w:tab w:leader="none" w:pos="115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provided in Section 6.4(a), all of the terms and provisions of the Plan shall apply to the Designated Executives and shall govern their participation in the Plan and their accrual of a Retirement Benefit hereunder.</w:t>
      </w:r>
    </w:p>
    <w:p>
      <w:pPr>
        <w:spacing w:after="0" w:line="134" w:lineRule="exact"/>
        <w:rPr>
          <w:rFonts w:ascii="Times New Roman" w:cs="Times New Roman" w:eastAsia="Times New Roman" w:hAnsi="Times New Roman"/>
          <w:sz w:val="21"/>
          <w:szCs w:val="21"/>
          <w:color w:val="auto"/>
        </w:rPr>
      </w:pPr>
    </w:p>
    <w:p>
      <w:pPr>
        <w:ind w:left="4" w:firstLine="644"/>
        <w:spacing w:after="0" w:line="284" w:lineRule="auto"/>
        <w:tabs>
          <w:tab w:leader="none" w:pos="111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6.4 shall not apply to any Participant in the Plan other than the Designated Executives, and shall have no effect or impact on any such other Participant’s benefit entitlement or benefit accrual under the Plan.</w:t>
      </w:r>
    </w:p>
    <w:p>
      <w:pPr>
        <w:spacing w:after="0" w:line="157" w:lineRule="exact"/>
        <w:rPr>
          <w:rFonts w:ascii="Times New Roman" w:cs="Times New Roman" w:eastAsia="Times New Roman" w:hAnsi="Times New Roman"/>
          <w:sz w:val="22"/>
          <w:szCs w:val="22"/>
          <w:color w:val="auto"/>
        </w:rPr>
      </w:pPr>
    </w:p>
    <w:p>
      <w:pPr>
        <w:ind w:left="-656" w:right="20" w:firstLine="656"/>
        <w:spacing w:after="0" w:line="271" w:lineRule="auto"/>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modified by this Seventh Amendment, all the terms and provisions of the Cash Balance SERP shall continue to remain in full force and effect.</w:t>
      </w:r>
    </w:p>
    <w:p>
      <w:pPr>
        <w:sectPr>
          <w:pgSz w:w="11900" w:h="16838" w:orient="portrait"/>
          <w:cols w:equalWidth="0" w:num="1">
            <w:col w:w="10584"/>
          </w:cols>
          <w:pgMar w:left="976" w:top="1440" w:right="339" w:bottom="1440" w:gutter="0" w:footer="0" w:header="0"/>
        </w:sectPr>
      </w:pPr>
    </w:p>
    <w:bookmarkStart w:id="109" w:name="page110"/>
    <w:bookmarkEnd w:id="109"/>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Amendment to be executed on this _____ day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 2025.</w:t>
      </w:r>
    </w:p>
    <w:p>
      <w:pPr>
        <w:spacing w:after="0" w:line="200" w:lineRule="exact"/>
        <w:rPr>
          <w:sz w:val="20"/>
          <w:szCs w:val="20"/>
          <w:color w:val="auto"/>
        </w:rPr>
      </w:pPr>
    </w:p>
    <w:p>
      <w:pPr>
        <w:spacing w:after="0" w:line="3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SAN JOSE WATER COMPANY</w:t>
      </w: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____________________________</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Andrew F. Walters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 and Chairman of the Board of Directors</w:t>
      </w:r>
    </w:p>
    <w:p>
      <w:pPr>
        <w:sectPr>
          <w:pgSz w:w="11900" w:h="16838" w:orient="portrait"/>
          <w:cols w:equalWidth="0" w:num="1">
            <w:col w:w="10580"/>
          </w:cols>
          <w:pgMar w:left="320" w:top="1440" w:right="999" w:bottom="1440" w:gutter="0" w:footer="0" w:header="0"/>
        </w:sectPr>
      </w:pPr>
    </w:p>
    <w:bookmarkStart w:id="110" w:name="page111"/>
    <w:bookmarkEnd w:id="110"/>
    <w:p>
      <w:pPr>
        <w:spacing w:after="0" w:line="131" w:lineRule="exact"/>
        <w:rPr>
          <w:sz w:val="20"/>
          <w:szCs w:val="20"/>
          <w:color w:val="auto"/>
        </w:rPr>
      </w:pPr>
    </w:p>
    <w:p>
      <w:pPr>
        <w:jc w:val="center"/>
        <w:ind w:right="251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56" w:lineRule="exact"/>
        <w:rPr>
          <w:sz w:val="20"/>
          <w:szCs w:val="20"/>
          <w:color w:val="auto"/>
        </w:rPr>
      </w:pPr>
    </w:p>
    <w:p>
      <w:pPr>
        <w:jc w:val="right"/>
        <w:ind w:right="5299"/>
        <w:spacing w:after="0"/>
        <w:rPr>
          <w:sz w:val="20"/>
          <w:szCs w:val="20"/>
          <w:color w:val="auto"/>
        </w:rPr>
      </w:pPr>
      <w:r>
        <w:rPr>
          <w:rFonts w:ascii="Times New Roman" w:cs="Times New Roman" w:eastAsia="Times New Roman" w:hAnsi="Times New Roman"/>
          <w:sz w:val="22"/>
          <w:szCs w:val="22"/>
          <w:b w:val="1"/>
          <w:bCs w:val="1"/>
          <w:color w:val="auto"/>
        </w:rPr>
        <w:t>Designated Executives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Willie Brown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Bruce Hauk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Kelly</w:t>
      </w:r>
    </w:p>
    <w:p>
      <w:pPr>
        <w:sectPr>
          <w:pgSz w:w="11900" w:h="16838" w:orient="portrait"/>
          <w:cols w:equalWidth="0" w:num="1">
            <w:col w:w="10139"/>
          </w:cols>
          <w:pgMar w:left="320" w:top="1440"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Restricted Stock Issuance Agreement – Customer Affordability</w:t>
      </w:r>
    </w:p>
    <w:p>
      <w:pPr>
        <w:spacing w:after="0" w:line="2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H2O AMERICA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ISSUANCE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ind w:firstLine="656"/>
        <w:spacing w:after="0" w:line="271" w:lineRule="auto"/>
        <w:tabs>
          <w:tab w:leader="none" w:pos="111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has adopted the Plan for the purpose of retaining the services of selected Employees of the Corporation (or any Parent or Subsidiary).</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to render valuable services to the Corporation (or a Parent or Subsidiary), and this Agreement is executed pursuant to, and is intended to carry out the purposes of, the Plan in connection with the Corporation’s issuance of an equity incentive award under the Plan designed to retain Participant’s continued service.</w:t>
      </w:r>
    </w:p>
    <w:p>
      <w:pPr>
        <w:spacing w:after="0" w:line="16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in this Agreement shall have the meaning assigned to them in the attached Appendix 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it is hereby agreed as follows:</w:t>
      </w:r>
    </w:p>
    <w:p>
      <w:pPr>
        <w:spacing w:after="0" w:line="193" w:lineRule="exact"/>
        <w:rPr>
          <w:sz w:val="20"/>
          <w:szCs w:val="20"/>
          <w:color w:val="auto"/>
        </w:rPr>
      </w:pPr>
    </w:p>
    <w:p>
      <w:pPr>
        <w:jc w:val="both"/>
        <w:ind w:firstLine="656"/>
        <w:spacing w:after="0" w:line="210"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color w:val="auto"/>
        </w:rPr>
        <w:t>. The Corporation hereby awards to Participant, as of the Award Date,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performance-based award (the “Award”) under the Plan entitling Participant to receive a number of shares of Common Stock based upon the attainment of a pre- established performance objective tied to customer affordability measured over a specified measurement period, provided Participant continues in Service through the completion date of that measurement period. The target number of shares of Common Stock used to determine Participant’s rights under the Award (the “Target Shares”) shall be the number of shares designated as Target Granted for the Award as set forth on the “Acknowledge Grant” page (which is incorporated as part of this Agreement), rounded up to the next whole share, linked to the Award in Participant’s personal web portal administered by Computershare Online Services, or a successor administrator, website. The actual number of shares of Common Stock that may become issuable pursuant to the Award shall be determined in accordance with the Vesting Schedule below. The applicable performance target for the vesting of those shares, the alternative and special vesting provisions which may become applicable to such shares, the date or dates on which the vested shares shall become issuable to Participant and the remaining terms and conditions governing the Award shall be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17" w:right="339" w:bottom="1440" w:gutter="0" w:footer="0" w:header="0"/>
        </w:sectPr>
      </w:pPr>
    </w:p>
    <w:bookmarkStart w:id="112" w:name="page113"/>
    <w:bookmarkEnd w:id="112"/>
    <w:p>
      <w:pPr>
        <w:spacing w:after="0" w:line="84" w:lineRule="exact"/>
        <w:rPr>
          <w:sz w:val="20"/>
          <w:szCs w:val="20"/>
          <w:color w:val="auto"/>
        </w:rPr>
      </w:pPr>
    </w:p>
    <w:p>
      <w:pPr>
        <w:ind w:left="44"/>
        <w:spacing w:after="0"/>
        <w:rPr>
          <w:sz w:val="20"/>
          <w:szCs w:val="20"/>
          <w:color w:val="auto"/>
        </w:rPr>
      </w:pPr>
      <w:r>
        <w:rPr>
          <w:rFonts w:ascii="Times New Roman" w:cs="Times New Roman" w:eastAsia="Times New Roman" w:hAnsi="Times New Roman"/>
          <w:sz w:val="21"/>
          <w:szCs w:val="21"/>
          <w:color w:val="auto"/>
        </w:rPr>
        <w:t>Award Date: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__, 2026</w:t>
      </w:r>
    </w:p>
    <w:p>
      <w:pPr>
        <w:spacing w:after="0" w:line="200" w:lineRule="exact"/>
        <w:rPr>
          <w:sz w:val="20"/>
          <w:szCs w:val="20"/>
          <w:color w:val="auto"/>
        </w:rPr>
      </w:pPr>
    </w:p>
    <w:p>
      <w:pPr>
        <w:sectPr>
          <w:pgSz w:w="11900" w:h="16887" w:orient="portrait"/>
          <w:cols w:equalWidth="0" w:num="2">
            <w:col w:w="3104" w:space="720"/>
            <w:col w:w="6760"/>
          </w:cols>
          <w:pgMar w:left="976" w:top="1440" w:right="339" w:bottom="0" w:gutter="0" w:footer="0" w:header="0"/>
        </w:sectPr>
      </w:pPr>
    </w:p>
    <w:p>
      <w:pPr>
        <w:spacing w:after="0" w:line="85" w:lineRule="exact"/>
        <w:rPr>
          <w:sz w:val="20"/>
          <w:szCs w:val="20"/>
          <w:color w:val="auto"/>
        </w:rPr>
      </w:pPr>
    </w:p>
    <w:p>
      <w:pPr>
        <w:ind w:left="44"/>
        <w:spacing w:after="0"/>
        <w:rPr>
          <w:sz w:val="20"/>
          <w:szCs w:val="20"/>
          <w:color w:val="auto"/>
        </w:rPr>
      </w:pPr>
      <w:r>
        <w:rPr>
          <w:rFonts w:ascii="Times New Roman" w:cs="Times New Roman" w:eastAsia="Times New Roman" w:hAnsi="Times New Roman"/>
          <w:sz w:val="21"/>
          <w:szCs w:val="21"/>
          <w:color w:val="auto"/>
        </w:rPr>
        <w:t>Vesting Schedule: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shares of Common Stock which may actually vest and</w:t>
      </w:r>
    </w:p>
    <w:p>
      <w:pPr>
        <w:spacing w:after="0" w:line="29" w:lineRule="exact"/>
        <w:rPr>
          <w:sz w:val="20"/>
          <w:szCs w:val="20"/>
          <w:color w:val="auto"/>
        </w:rPr>
      </w:pPr>
    </w:p>
    <w:p>
      <w:pPr>
        <w:sectPr>
          <w:pgSz w:w="11900" w:h="16887" w:orient="portrait"/>
          <w:cols w:equalWidth="0" w:num="2">
            <w:col w:w="3104" w:space="720"/>
            <w:col w:w="6760"/>
          </w:cols>
          <w:pgMar w:left="976" w:top="1440" w:right="339" w:bottom="0" w:gutter="0" w:footer="0" w:header="0"/>
          <w:type w:val="continuous"/>
        </w:sectPr>
      </w:pPr>
    </w:p>
    <w:p>
      <w:pPr>
        <w:ind w:left="3824" w:right="80"/>
        <w:spacing w:after="0" w:line="246" w:lineRule="auto"/>
        <w:rPr>
          <w:sz w:val="20"/>
          <w:szCs w:val="20"/>
          <w:color w:val="auto"/>
        </w:rPr>
      </w:pPr>
      <w:r>
        <w:rPr>
          <w:rFonts w:ascii="Times New Roman" w:cs="Times New Roman" w:eastAsia="Times New Roman" w:hAnsi="Times New Roman"/>
          <w:sz w:val="22"/>
          <w:szCs w:val="22"/>
          <w:color w:val="auto"/>
        </w:rPr>
        <w:t>become issuable pursuant to the Award shall be determined pursuant to a two-step process:</w:t>
      </w:r>
    </w:p>
    <w:p>
      <w:pPr>
        <w:spacing w:after="0" w:line="198"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(i) first the maximum number of shares of Common Stock in which</w:t>
      </w:r>
    </w:p>
    <w:p>
      <w:pPr>
        <w:spacing w:after="0" w:line="28"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Participant can vest under the Performance Vesting section below shall be</w:t>
      </w:r>
    </w:p>
    <w:p>
      <w:pPr>
        <w:spacing w:after="0" w:line="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calculated on the basis of the level at which the Performance Objective</w:t>
      </w:r>
    </w:p>
    <w:p>
      <w:pPr>
        <w:spacing w:after="0" w:line="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color w:val="auto"/>
        </w:rPr>
        <w:t>specified on attached Schedule I is actually attained and (ii) then the number</w:t>
      </w:r>
    </w:p>
    <w:p>
      <w:pPr>
        <w:spacing w:after="0" w:line="1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of shares calculated under clause (i) in which Participant may actually vest</w:t>
      </w:r>
    </w:p>
    <w:p>
      <w:pPr>
        <w:spacing w:after="0" w:line="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color w:val="auto"/>
        </w:rPr>
        <w:t>shall be determined on the basis of Participant’s completion of the applicable</w:t>
      </w:r>
    </w:p>
    <w:p>
      <w:pPr>
        <w:spacing w:after="0" w:line="27"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Service vesting requirements set forth in Paragraph 3 of this Agreement.</w:t>
      </w:r>
    </w:p>
    <w:p>
      <w:pPr>
        <w:sectPr>
          <w:pgSz w:w="11900" w:h="16887" w:orient="portrait"/>
          <w:cols w:equalWidth="0" w:num="1">
            <w:col w:w="10584"/>
          </w:cols>
          <w:pgMar w:left="976" w:top="1440" w:right="339" w:bottom="0" w:gutter="0" w:footer="0" w:header="0"/>
          <w:type w:val="continuous"/>
        </w:sectPr>
      </w:pPr>
    </w:p>
    <w:p>
      <w:pPr>
        <w:spacing w:after="0" w:line="190"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b w:val="1"/>
          <w:bCs w:val="1"/>
          <w:i w:val="1"/>
          <w:iCs w:val="1"/>
          <w:color w:val="auto"/>
        </w:rPr>
        <w:t>Performance  Vesting</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Attached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  specifies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Performance</w:t>
      </w:r>
    </w:p>
    <w:p>
      <w:pPr>
        <w:spacing w:after="0" w:line="40" w:lineRule="exact"/>
        <w:rPr>
          <w:sz w:val="20"/>
          <w:szCs w:val="20"/>
          <w:color w:val="auto"/>
        </w:rPr>
      </w:pPr>
    </w:p>
    <w:p>
      <w:pPr>
        <w:sectPr>
          <w:pgSz w:w="11900" w:h="16887" w:orient="portrait"/>
          <w:cols w:equalWidth="0" w:num="6">
            <w:col w:w="5844" w:space="140"/>
            <w:col w:w="780" w:space="160"/>
            <w:col w:w="800" w:space="140"/>
            <w:col w:w="980" w:space="160"/>
            <w:col w:w="260" w:space="140"/>
            <w:col w:w="1180"/>
          </w:cols>
          <w:pgMar w:left="976" w:top="1440" w:right="339" w:bottom="0" w:gutter="0" w:footer="0" w:header="0"/>
          <w:type w:val="continuous"/>
        </w:sectPr>
      </w:pPr>
    </w:p>
    <w:p>
      <w:pPr>
        <w:ind w:left="3824"/>
        <w:spacing w:after="0"/>
        <w:rPr>
          <w:sz w:val="20"/>
          <w:szCs w:val="20"/>
          <w:color w:val="auto"/>
        </w:rPr>
      </w:pPr>
      <w:r>
        <w:rPr>
          <w:rFonts w:ascii="Times New Roman" w:cs="Times New Roman" w:eastAsia="Times New Roman" w:hAnsi="Times New Roman"/>
          <w:sz w:val="21"/>
          <w:szCs w:val="21"/>
          <w:color w:val="auto"/>
        </w:rPr>
        <w:t>Objective to be attained for the specified Measurement Period. No later than</w:t>
      </w:r>
    </w:p>
    <w:p>
      <w:pPr>
        <w:spacing w:after="0" w:line="13"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color w:val="auto"/>
        </w:rPr>
        <w:t>the last business day of February in the calendar year immediately following</w:t>
      </w:r>
    </w:p>
    <w:p>
      <w:pPr>
        <w:spacing w:after="0" w:line="1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the end of the Measurement Period, the Plan Administrator shall determine</w:t>
      </w:r>
    </w:p>
    <w:p>
      <w:pPr>
        <w:spacing w:after="0" w:line="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and certify the actual level of attainment for the Performance Objective (the</w:t>
      </w:r>
    </w:p>
    <w:p>
      <w:pPr>
        <w:spacing w:after="0" w:line="1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“Performance Certification Date”). On the basis of that certified level of</w:t>
      </w:r>
    </w:p>
    <w:p>
      <w:pPr>
        <w:spacing w:after="0" w:line="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color w:val="auto"/>
        </w:rPr>
        <w:t>attainment, the number of Target Shares will be multiplied by the applicable</w:t>
      </w:r>
    </w:p>
    <w:p>
      <w:pPr>
        <w:spacing w:after="0" w:line="1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percentage (which may range from 0% to 150%) determined in accordance</w:t>
      </w:r>
    </w:p>
    <w:p>
      <w:pPr>
        <w:spacing w:after="0" w:line="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with Schedule I. The number of shares resulting from such calculation shall</w:t>
      </w:r>
    </w:p>
    <w:p>
      <w:pPr>
        <w:spacing w:after="0" w:line="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constitute the maximum number of shares of Common Stock in which</w:t>
      </w:r>
    </w:p>
    <w:p>
      <w:pPr>
        <w:sectPr>
          <w:pgSz w:w="11900" w:h="16887" w:orient="portrait"/>
          <w:cols w:equalWidth="0" w:num="1">
            <w:col w:w="10584"/>
          </w:cols>
          <w:pgMar w:left="976" w:top="1440" w:right="339" w:bottom="0" w:gutter="0" w:footer="0" w:header="0"/>
          <w:type w:val="continuous"/>
        </w:sectPr>
      </w:pPr>
    </w:p>
    <w:p>
      <w:pPr>
        <w:spacing w:after="0" w:line="17"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may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vest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under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this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Award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shall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designated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w:t>
      </w:r>
    </w:p>
    <w:p>
      <w:pPr>
        <w:spacing w:after="0" w:line="15" w:lineRule="exact"/>
        <w:rPr>
          <w:sz w:val="20"/>
          <w:szCs w:val="20"/>
          <w:color w:val="auto"/>
        </w:rPr>
      </w:pPr>
    </w:p>
    <w:p>
      <w:pPr>
        <w:sectPr>
          <w:pgSz w:w="11900" w:h="16887" w:orient="portrait"/>
          <w:cols w:equalWidth="0" w:num="11">
            <w:col w:w="4764" w:space="140"/>
            <w:col w:w="380" w:space="160"/>
            <w:col w:w="340" w:space="160"/>
            <w:col w:w="480" w:space="160"/>
            <w:col w:w="320" w:space="160"/>
            <w:col w:w="560" w:space="160"/>
            <w:col w:w="300" w:space="160"/>
            <w:col w:w="420" w:space="140"/>
            <w:col w:w="200" w:space="160"/>
            <w:col w:w="920" w:space="160"/>
            <w:col w:w="340"/>
          </w:cols>
          <w:pgMar w:left="976" w:top="1440" w:right="339" w:bottom="0" w:gutter="0" w:footer="0" w:header="0"/>
          <w:type w:val="continuous"/>
        </w:sectPr>
      </w:pPr>
    </w:p>
    <w:p>
      <w:pPr>
        <w:ind w:left="3824" w:right="60"/>
        <w:spacing w:after="0" w:line="269" w:lineRule="auto"/>
        <w:rPr>
          <w:sz w:val="20"/>
          <w:szCs w:val="20"/>
          <w:color w:val="auto"/>
        </w:rPr>
      </w:pPr>
      <w:r>
        <w:rPr>
          <w:rFonts w:ascii="Times New Roman" w:cs="Times New Roman" w:eastAsia="Times New Roman" w:hAnsi="Times New Roman"/>
          <w:sz w:val="21"/>
          <w:szCs w:val="21"/>
          <w:color w:val="auto"/>
        </w:rPr>
        <w:t>“Performance- Qualified Shares.” In no event may the number of such Performance-Qualified Shares exceed 150% of the number of Target Shares.</w:t>
      </w:r>
    </w:p>
    <w:p>
      <w:pPr>
        <w:spacing w:after="0" w:line="162"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Should the Performance Objective be attained at a level below the threshold</w:t>
      </w:r>
    </w:p>
    <w:p>
      <w:pPr>
        <w:spacing w:after="0" w:line="29"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color w:val="auto"/>
        </w:rPr>
        <w:t>level specified in attached Schedule I, the Award shall be forfeited and shall</w:t>
      </w:r>
    </w:p>
    <w:p>
      <w:pPr>
        <w:spacing w:after="0" w:line="27"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be immediately cancelled. Participant shall thereupon cease to have any</w:t>
      </w:r>
    </w:p>
    <w:p>
      <w:pPr>
        <w:spacing w:after="0" w:line="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further right, title or interest in the shares of Common Stock underlying the</w:t>
      </w:r>
    </w:p>
    <w:p>
      <w:pPr>
        <w:spacing w:after="0" w:line="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cancelled Award.</w:t>
      </w:r>
    </w:p>
    <w:p>
      <w:pPr>
        <w:spacing w:after="0" w:line="190"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b w:val="1"/>
          <w:bCs w:val="1"/>
          <w:i w:val="1"/>
          <w:iCs w:val="1"/>
          <w:color w:val="auto"/>
        </w:rPr>
        <w:t>Service Vesting</w:t>
      </w:r>
      <w:r>
        <w:rPr>
          <w:rFonts w:ascii="Times New Roman" w:cs="Times New Roman" w:eastAsia="Times New Roman" w:hAnsi="Times New Roman"/>
          <w:sz w:val="22"/>
          <w:szCs w:val="22"/>
          <w:color w:val="auto"/>
        </w:rPr>
        <w:t>. The number of Performance-Qualified Shares in which</w:t>
      </w:r>
    </w:p>
    <w:p>
      <w:pPr>
        <w:spacing w:after="0" w:line="3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Participant actually vests shall be determined on the basis of Participant’s</w:t>
      </w:r>
    </w:p>
    <w:p>
      <w:pPr>
        <w:spacing w:after="0" w:line="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satisfaction of the Service vesting requirements set forth in Paragraph 3.</w:t>
      </w:r>
    </w:p>
    <w:p>
      <w:pPr>
        <w:spacing w:after="0" w:line="201"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b w:val="1"/>
          <w:bCs w:val="1"/>
          <w:i w:val="1"/>
          <w:iCs w:val="1"/>
          <w:color w:val="auto"/>
        </w:rPr>
        <w:t>Change in Control Vesting</w:t>
      </w:r>
      <w:r>
        <w:rPr>
          <w:rFonts w:ascii="Times New Roman" w:cs="Times New Roman" w:eastAsia="Times New Roman" w:hAnsi="Times New Roman"/>
          <w:sz w:val="22"/>
          <w:szCs w:val="22"/>
          <w:color w:val="auto"/>
        </w:rPr>
        <w:t>. The shares of Common Stock underlying the</w:t>
      </w:r>
    </w:p>
    <w:p>
      <w:pPr>
        <w:spacing w:after="0" w:line="34"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2"/>
          <w:szCs w:val="22"/>
          <w:color w:val="auto"/>
        </w:rPr>
        <w:t>Award may also vest on an alternative basis in accordance with Paragraph 5</w:t>
      </w:r>
    </w:p>
    <w:p>
      <w:pPr>
        <w:sectPr>
          <w:pgSz w:w="11900" w:h="16887" w:orient="portrait"/>
          <w:cols w:equalWidth="0" w:num="1">
            <w:col w:w="10584"/>
          </w:cols>
          <w:pgMar w:left="976" w:top="1440" w:right="339" w:bottom="0" w:gutter="0" w:footer="0" w:header="0"/>
          <w:type w:val="continuous"/>
        </w:sectPr>
      </w:pPr>
    </w:p>
    <w:p>
      <w:pPr>
        <w:spacing w:after="0" w:line="5" w:lineRule="exact"/>
        <w:rPr>
          <w:sz w:val="20"/>
          <w:szCs w:val="20"/>
          <w:color w:val="auto"/>
        </w:rPr>
      </w:pPr>
    </w:p>
    <w:p>
      <w:pPr>
        <w:ind w:left="3824"/>
        <w:spacing w:after="0"/>
        <w:rPr>
          <w:sz w:val="20"/>
          <w:szCs w:val="20"/>
          <w:color w:val="auto"/>
        </w:rPr>
      </w:pPr>
      <w:r>
        <w:rPr>
          <w:rFonts w:ascii="Times New Roman" w:cs="Times New Roman" w:eastAsia="Times New Roman" w:hAnsi="Times New Roman"/>
          <w:sz w:val="21"/>
          <w:szCs w:val="21"/>
          <w:color w:val="auto"/>
        </w:rPr>
        <w:t>should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Change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in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Control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occur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prior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completion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w:t>
      </w:r>
    </w:p>
    <w:p>
      <w:pPr>
        <w:spacing w:after="0" w:line="15" w:lineRule="exact"/>
        <w:rPr>
          <w:sz w:val="20"/>
          <w:szCs w:val="20"/>
          <w:color w:val="auto"/>
        </w:rPr>
      </w:pPr>
    </w:p>
    <w:p>
      <w:pPr>
        <w:sectPr>
          <w:pgSz w:w="11900" w:h="16887" w:orient="portrait"/>
          <w:cols w:equalWidth="0" w:num="12">
            <w:col w:w="4404" w:space="160"/>
            <w:col w:w="100" w:space="160"/>
            <w:col w:w="660" w:space="160"/>
            <w:col w:w="160" w:space="160"/>
            <w:col w:w="660" w:space="160"/>
            <w:col w:w="480" w:space="160"/>
            <w:col w:w="420" w:space="180"/>
            <w:col w:w="160" w:space="160"/>
            <w:col w:w="260" w:space="160"/>
            <w:col w:w="980" w:space="160"/>
            <w:col w:w="180" w:space="160"/>
            <w:col w:w="340"/>
          </w:cols>
          <w:pgMar w:left="976" w:top="1440" w:right="339" w:bottom="0" w:gutter="0" w:footer="0" w:header="0"/>
          <w:type w:val="continuous"/>
        </w:sectPr>
      </w:pPr>
    </w:p>
    <w:p>
      <w:pPr>
        <w:jc w:val="center"/>
        <w:ind w:right="1096"/>
        <w:spacing w:after="0"/>
        <w:rPr>
          <w:sz w:val="20"/>
          <w:szCs w:val="20"/>
          <w:color w:val="auto"/>
        </w:rPr>
      </w:pPr>
      <w:r>
        <w:rPr>
          <w:rFonts w:ascii="Times New Roman" w:cs="Times New Roman" w:eastAsia="Times New Roman" w:hAnsi="Times New Roman"/>
          <w:sz w:val="21"/>
          <w:szCs w:val="21"/>
          <w:color w:val="auto"/>
        </w:rPr>
        <w:t>Measurement Period.</w:t>
      </w:r>
    </w:p>
    <w:p>
      <w:pPr>
        <w:sectPr>
          <w:pgSz w:w="11900" w:h="16887" w:orient="portrait"/>
          <w:cols w:equalWidth="0" w:num="1">
            <w:col w:w="10584"/>
          </w:cols>
          <w:pgMar w:left="976" w:top="1440" w:right="339" w:bottom="0" w:gutter="0" w:footer="0" w:header="0"/>
          <w:type w:val="continuous"/>
        </w:sectPr>
      </w:pPr>
    </w:p>
    <w:p>
      <w:pPr>
        <w:spacing w:after="0" w:line="273" w:lineRule="exact"/>
        <w:rPr>
          <w:sz w:val="20"/>
          <w:szCs w:val="20"/>
          <w:color w:val="auto"/>
        </w:rPr>
      </w:pPr>
    </w:p>
    <w:p>
      <w:pPr>
        <w:ind w:left="44"/>
        <w:spacing w:after="0"/>
        <w:rPr>
          <w:sz w:val="20"/>
          <w:szCs w:val="20"/>
          <w:color w:val="auto"/>
        </w:rPr>
      </w:pPr>
      <w:r>
        <w:rPr>
          <w:rFonts w:ascii="Times New Roman" w:cs="Times New Roman" w:eastAsia="Times New Roman" w:hAnsi="Times New Roman"/>
          <w:sz w:val="21"/>
          <w:szCs w:val="21"/>
          <w:color w:val="auto"/>
        </w:rPr>
        <w:t>Issuance Schedule: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ind w:right="80"/>
        <w:spacing w:after="0" w:line="215" w:lineRule="auto"/>
        <w:rPr>
          <w:sz w:val="20"/>
          <w:szCs w:val="20"/>
          <w:color w:val="auto"/>
        </w:rPr>
      </w:pPr>
      <w:r>
        <w:rPr>
          <w:rFonts w:ascii="Times New Roman" w:cs="Times New Roman" w:eastAsia="Times New Roman" w:hAnsi="Times New Roman"/>
          <w:sz w:val="22"/>
          <w:szCs w:val="22"/>
          <w:color w:val="auto"/>
        </w:rPr>
        <w:t>The shares of Common Stock which actually vest and become issuable pursuant to the terms of this Agreement shall be issued in accordance with the provisions of this Agreement applicable to the particular circumstances under which such vesting occurs. The actual issuance of the shares shall be subject to the Corporation’s collection of all applicable Withholding Taxes as set forth in Paragraph 7 of this Agreement.</w:t>
      </w:r>
    </w:p>
    <w:p>
      <w:pPr>
        <w:spacing w:after="0" w:line="54" w:lineRule="exact"/>
        <w:rPr>
          <w:sz w:val="20"/>
          <w:szCs w:val="20"/>
          <w:color w:val="auto"/>
        </w:rPr>
      </w:pPr>
    </w:p>
    <w:p>
      <w:pPr>
        <w:sectPr>
          <w:pgSz w:w="11900" w:h="16887" w:orient="portrait"/>
          <w:cols w:equalWidth="0" w:num="2">
            <w:col w:w="3044" w:space="720"/>
            <w:col w:w="6820"/>
          </w:cols>
          <w:pgMar w:left="976" w:top="1440" w:right="339" w:bottom="0" w:gutter="0" w:footer="0" w:header="0"/>
          <w:type w:val="continuous"/>
        </w:sectPr>
      </w:pPr>
    </w:p>
    <w:p>
      <w:pPr>
        <w:jc w:val="both"/>
        <w:ind w:left="-656" w:firstLine="656"/>
        <w:spacing w:after="0" w:line="213" w:lineRule="auto"/>
        <w:tabs>
          <w:tab w:leader="none" w:pos="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22"/>
          <w:szCs w:val="22"/>
          <w:color w:val="auto"/>
        </w:rPr>
        <w:t>. Prior to actual receipt of the shares of Common Stock which vest and become issuable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Participant may not transfer any interest in the Award or the underlying shares. Any shares which vest hereunder but which otherwise remain unissued at the time of Participant’s death may be transferred pursuant to the provisions of Participant’s will or the laws of inheritance or to Participant’s designated beneficiary or beneficiaries of this Award. Participant may also direct the Corporation to re-issue the stock certificates for any shares which in fact vest and become issuable under the Award during Participant’s lifetime to one or more designated family members or a trust established for Participant and/or Participant’s family members. Participant may make such a beneficiary designation or certificate directive at any time by filing the appropriate form with the Plan Administrator or its designee.</w:t>
      </w:r>
    </w:p>
    <w:p>
      <w:pPr>
        <w:spacing w:after="0" w:line="147" w:lineRule="exact"/>
        <w:rPr>
          <w:rFonts w:ascii="Times New Roman" w:cs="Times New Roman" w:eastAsia="Times New Roman" w:hAnsi="Times New Roman"/>
          <w:sz w:val="22"/>
          <w:szCs w:val="22"/>
          <w:color w:val="auto"/>
        </w:rPr>
      </w:pPr>
    </w:p>
    <w:p>
      <w:pPr>
        <w:jc w:val="both"/>
        <w:ind w:left="-656" w:firstLine="656"/>
        <w:spacing w:after="0" w:line="221" w:lineRule="auto"/>
        <w:tabs>
          <w:tab w:leader="none" w:pos="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 Requirement</w:t>
      </w:r>
      <w:r>
        <w:rPr>
          <w:rFonts w:ascii="Times New Roman" w:cs="Times New Roman" w:eastAsia="Times New Roman" w:hAnsi="Times New Roman"/>
          <w:sz w:val="22"/>
          <w:szCs w:val="22"/>
          <w:color w:val="auto"/>
        </w:rPr>
        <w:t>. The number of Performance-Qualified Shares calculated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Performance-Vesting provisions of Paragraph 1 and attached Schedule I represent the maximum number of shares of Common Stock in which Participant can vest hereunder. The actual number of shares of Common Stock in which Participant shall vest shall be determined as follows:</w:t>
      </w:r>
    </w:p>
    <w:p>
      <w:pPr>
        <w:sectPr>
          <w:pgSz w:w="11900" w:h="16887" w:orient="portrait"/>
          <w:cols w:equalWidth="0" w:num="1">
            <w:col w:w="10584"/>
          </w:cols>
          <w:pgMar w:left="976" w:top="1440" w:right="339" w:bottom="0" w:gutter="0" w:footer="0" w:header="0"/>
          <w:type w:val="continuous"/>
        </w:sectPr>
      </w:pPr>
    </w:p>
    <w:bookmarkStart w:id="113" w:name="page114"/>
    <w:bookmarkEnd w:id="113"/>
    <w:p>
      <w:pPr>
        <w:jc w:val="both"/>
        <w:ind w:left="1940" w:hanging="656"/>
        <w:spacing w:after="0" w:line="226" w:lineRule="auto"/>
        <w:tabs>
          <w:tab w:leader="none" w:pos="1931"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Participant shall vest in one hundred percent (100%) of the Performance- Qualified Shares on the Performance Certification Date provided Participant has remained in Service through the last day of the Measurement Period.</w:t>
      </w:r>
    </w:p>
    <w:p>
      <w:pPr>
        <w:spacing w:after="0" w:line="150" w:lineRule="exact"/>
        <w:rPr>
          <w:rFonts w:ascii="Times New Roman" w:cs="Times New Roman" w:eastAsia="Times New Roman" w:hAnsi="Times New Roman"/>
          <w:sz w:val="22"/>
          <w:szCs w:val="22"/>
          <w:b w:val="1"/>
          <w:bCs w:val="1"/>
          <w:color w:val="auto"/>
        </w:rPr>
      </w:pPr>
    </w:p>
    <w:p>
      <w:pPr>
        <w:jc w:val="both"/>
        <w:ind w:left="1940" w:hanging="656"/>
        <w:spacing w:after="0" w:line="211" w:lineRule="auto"/>
        <w:tabs>
          <w:tab w:leader="none" w:pos="1931"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to the extent otherwise provided in Paragraph 5, should Participant’s cessation of Employee status occur prior to the completion of the Measurement Period by reason of (A) Participant’s death or Permanent Disability, (B) Participant’s Retirement, (C) Participant’s resignation from Employee status for Good Reason or (D) the Corporation’s termination of Participant’s Employee status other than for Good Cause, then Participant shall, following the completion of the Measurement Period, vest in that number of shares of Common Stock determined by multiplying the Performance-Qualified Shares in which Participant could vest based on the actual level of attainment of the Performance Objective certified by the Plan Administrator by a fraction, the numerator of which is the number of whole months of Service (rounded up to the next whole month) completed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20"/>
          </w:cols>
          <w:pgMar w:left="340" w:top="98" w:right="339" w:bottom="1440" w:gutter="0" w:footer="0" w:header="0"/>
        </w:sectPr>
      </w:pPr>
    </w:p>
    <w:bookmarkStart w:id="114" w:name="page115"/>
    <w:bookmarkEnd w:id="114"/>
    <w:p>
      <w:pPr>
        <w:ind w:left="1960"/>
        <w:spacing w:after="0"/>
        <w:rPr>
          <w:sz w:val="20"/>
          <w:szCs w:val="20"/>
          <w:color w:val="auto"/>
        </w:rPr>
      </w:pPr>
      <w:r>
        <w:rPr>
          <w:rFonts w:ascii="Times New Roman" w:cs="Times New Roman" w:eastAsia="Times New Roman" w:hAnsi="Times New Roman"/>
          <w:sz w:val="22"/>
          <w:szCs w:val="22"/>
          <w:color w:val="auto"/>
        </w:rPr>
        <w:t>by Participant during the Measurement Period and the denominator of which is thirty-six (36) months.</w:t>
      </w:r>
    </w:p>
    <w:p>
      <w:pPr>
        <w:spacing w:after="0" w:line="179" w:lineRule="exact"/>
        <w:rPr>
          <w:sz w:val="20"/>
          <w:szCs w:val="20"/>
          <w:color w:val="auto"/>
        </w:rPr>
      </w:pPr>
    </w:p>
    <w:p>
      <w:pPr>
        <w:jc w:val="both"/>
        <w:ind w:left="1960" w:hanging="656"/>
        <w:spacing w:after="0" w:line="217" w:lineRule="auto"/>
        <w:tabs>
          <w:tab w:leader="none" w:pos="1951"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Participant’s Service ceases for any other reason prior to the completion of the Measurement Period, then Participant shall not vest in any of the shares of Common Stock subject to the Award, and all of Participant’s right, title and interest to the Award shall immediately terminate;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should a Change in Control occur prior to the completion of the Measurement Period, then the provisions of Paragraph 5 shall govern the vesting of the shares.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To the extent Participant so vests in one or more Performance-Qualified Shares pursuant to this Paragraph 3, the underlying shares that vest on the Performance Certification Date shall be issued on the last business day of February in the calendar year immediately following the end of the Measurement Period (the “Issuance Date”), subject to the Corporation’s collection of the applicable Withholding Taxes, but in no event later than March 15 following the end of Measurement Period.</w:t>
      </w:r>
    </w:p>
    <w:p>
      <w:pPr>
        <w:spacing w:after="0" w:line="145" w:lineRule="exact"/>
        <w:rPr>
          <w:sz w:val="20"/>
          <w:szCs w:val="20"/>
          <w:color w:val="auto"/>
        </w:rPr>
      </w:pPr>
    </w:p>
    <w:p>
      <w:pPr>
        <w:jc w:val="both"/>
        <w:ind w:firstLine="656"/>
        <w:spacing w:after="0" w:line="238" w:lineRule="auto"/>
        <w:tabs>
          <w:tab w:leader="none" w:pos="129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Stockholder Rights</w:t>
      </w:r>
      <w:r>
        <w:rPr>
          <w:rFonts w:ascii="Times New Roman" w:cs="Times New Roman" w:eastAsia="Times New Roman" w:hAnsi="Times New Roman"/>
          <w:sz w:val="21"/>
          <w:szCs w:val="21"/>
          <w:color w:val="auto"/>
        </w:rPr>
        <w:t>. Participant shall not have any stockholder rights, including voting, dividend or liquidation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with respect to the shares of Common Stock subject to the Award until the shares vest and Participant becomes the record holder of those shares upon their actual issuance following the Corporation’s collection of the applicable Withholding Taxes.</w:t>
      </w:r>
    </w:p>
    <w:p>
      <w:pPr>
        <w:spacing w:after="0" w:line="14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Change of Control occurs during the Measurement Period and Participant remains in Service through the effective date of the Change of Control, then the number of Performance-Qualified Shares issuable under the Award shall be equal to the Target Shares.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as so adjusted at the time of a Change in Control may be assumed by the successor entity or otherwise continued in full force and effect or may be replaced with a cash retention program of the successor entity which preserves the Fair Market Value of the underlying shares of Common Stock at the time of the Change in Control and provides for the subsequent vesting and payout of that value in accordance with the provisions of this Paragraph 5.B. In the event the Award is assumed, replaced or otherwise continued in effect, the following Service-based vesting schedule shall apply: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2"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(whether in its assumed or continued form or as converted into a cash retention program) shall vest in full upon Participant’s continuation in Service through the completion date of the Measurement Period. Following the completion of such Service-vesting period, the securities, cash or other property underlying the vested Award shall be issued on the Issuance Date or as soon as administratively practicable thereafter, subject to the Corporation’s collection of the applicable Withholding Taxes, but in no event later than March 15 following the end of the Measurement Period.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of the following events occur after the effective date of such Change in Control but prior to the completion date of the Measurement Period: (A) Participant’s cessation of Employee status by reason of death or Permanent Disability, (B) Participant’s resignation from Employee status for Good Reason or (C) the Corporation’s termination of Participant’s Employee status other than for Good Cause,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5" w:right="339" w:bottom="1440" w:gutter="0" w:footer="0" w:header="0"/>
        </w:sectPr>
      </w:pPr>
    </w:p>
    <w:bookmarkStart w:id="115" w:name="page116"/>
    <w:bookmarkEnd w:id="115"/>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then the Award shall immediately vest in full with respect to the Performance-Qualified Shares determined under Paragraph 5.A, and the securities, cash or other property underlying such portion of the Award shall, subject to the Corporation’s collection of the applicable Withholding Taxes, be distributed on the earlier of (x) the Issuance Date or (y) the date of Participant’s Separation from Service, provided such Separation from Service occurs within twenty-four (24) months after a Qualifying Change in Control, or as soon as administratively practicable after the applicable distribution date, but in no event later than the close of the calendar year in which such distribution date occurs (subject to the delayed payment provisions of Paragraph 8).</w:t>
      </w:r>
    </w:p>
    <w:p>
      <w:pPr>
        <w:spacing w:after="0" w:line="156" w:lineRule="exact"/>
        <w:rPr>
          <w:sz w:val="20"/>
          <w:szCs w:val="20"/>
          <w:color w:val="auto"/>
        </w:rPr>
      </w:pPr>
    </w:p>
    <w:p>
      <w:pPr>
        <w:jc w:val="both"/>
        <w:ind w:firstLine="1304"/>
        <w:spacing w:after="0" w:line="211" w:lineRule="auto"/>
        <w:tabs>
          <w:tab w:leader="none" w:pos="19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Award is assumed or otherwise continued in effect, the shares of Common Stock subject to the Award (as determined pursuant to Paragraph 5.A) will be adjusted immediately after the consummation of the Change in Control so as to apply to the number and class of securities into which the shares of Common Stock subject to the Award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may, in connection with the assumption or continuation of the Award at that time, substitute one or more shares of its own common stock with a fair market value equivalent to the cash consideration paid per share of Common Stock in the Change in Control transaction, provided such shares are registered under the federal securities laws and readily tradable on an established securities exchange.</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is not so assumed or otherwise continued in effect or replaced with a cash retention program under Paragraph 5.B, then the Award will vest immediately prior to the closing of the Change in Control with respect to the Performance-Qualified Shares determined under Paragraph 5.A. The shares subject to the vested Award shall be converted into the right to receive the same consideration per share of Common Stock payable to the other stockholders of the Corporation in consummation of that Change in Control, and such consideration shall be distributed to Participant on the tenth (10th) business day following the earliest to occur of (i) the Issuance Date, (ii) the date of Participant’s Separation from Service (subject to the delayed payment provisions of Paragraph 8), provided such Separation from Service occurs within twenty-four (24) months after a Qualifying Change in Control, or (iii) the first date following a Qualifying Change in Control on which the distribution can be made without contravention of any applicable provisions of Code Section 409A. Such distribution shall be subject to the Corporation’s collection of the applicable Withholding Taxes pursuant to the provisions of Paragraph 7.</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48" w:lineRule="exact"/>
        <w:rPr>
          <w:rFonts w:ascii="Times New Roman" w:cs="Times New Roman" w:eastAsia="Times New Roman" w:hAnsi="Times New Roman"/>
          <w:sz w:val="22"/>
          <w:szCs w:val="22"/>
          <w:color w:val="auto"/>
        </w:rPr>
      </w:pPr>
    </w:p>
    <w:p>
      <w:pPr>
        <w:jc w:val="both"/>
        <w:ind w:firstLine="656"/>
        <w:spacing w:after="0" w:line="223" w:lineRule="auto"/>
        <w:tabs>
          <w:tab w:leader="none" w:pos="129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Adjustment in Shares</w:t>
      </w:r>
      <w:r>
        <w:rPr>
          <w:rFonts w:ascii="Times New Roman" w:cs="Times New Roman" w:eastAsia="Times New Roman" w:hAnsi="Times New Roman"/>
          <w:sz w:val="21"/>
          <w:szCs w:val="21"/>
          <w:color w:val="auto"/>
        </w:rPr>
        <w:t>. Should any change be made to the Common Stock by reason of any stock split,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substantially reduced as a result of a spin-off transaction or an extraordinary dividend or distribution, or should there occur any merger, consolidation or other reorganization, then equitable adjustments shall be made by the Plan Administrator to the total number and/or class of securities issuable pursuant to this Award in order to reflect such change and the determination of the Plan Administrator shall be final, binding and conclusive. In the event of a Change in Control, the adjustments (if any) shall be made in accordance with the provisions of Paragraph 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5" w:right="339" w:bottom="1440" w:gutter="0" w:footer="0" w:header="0"/>
        </w:sectPr>
      </w:pPr>
    </w:p>
    <w:bookmarkStart w:id="116" w:name="page117"/>
    <w:bookmarkEnd w:id="116"/>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Shares/Collection of Withholding Taxes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Issuance Date (or any earlier date on which the shares of Common Stock are to be issued in accordance with the terms of this Agreement), the Corporation shall issue to or on behalf of Participant a certificate (which may be in electronic form) for the applicable number of shares of Common Stock, subject, however, to the Corporation’s collection of the applicable Withholding Taxes.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shall collect the applicable Withholding Taxes with respect to the shares of Common Stock which vest and become issuable hereunder through an automatic share withholding procedure pursuant to which the Corporation will withhold, at the time of such issuance, a portion of the shares with a Fair Market Value (measured as of the trading day immediately preceding the date of taxation of such shares) equal to the amount of those taxes;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the amount of any shares so withheld shall not exceed the amount necessary to satisfy the Corporation’s required tax withholding obligations using the maximum statutory withholding rates for federal and state tax purposes that are applicable to supplemental taxable income. In addition, the shares calculated to satisfy the maximum statutory withholding rates shall be rounded up to the next whole share. In the event payment is to be made in a form other than the shares, then the Corporation shall collect from Participant the applicable Withholding Taxes pursuant to such procedures as the Corporation deems appropriate under the circumstances.</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Paragraph 7.B, the employee portion of the federal, state and local employment taxes required to be withheld by the Corporation in connection with the vesting of the shares of Common Stock or any other amounts hereunder (the “Employment Taxes”) shall in all events be collected from Participant no later than the last business day of the calendar year in which the shares or other amounts vest hereunder. Accordingly, to the extent the Issuance Date for one or more vested shares or the distribution date for such other amounts is to occur in a year subsequent to the calendar year in which those shares or other amounts vest,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7.C shall be applicable only to the extent necessary to comply with the applicable tax withholding requirements of Code Section 3121(v).</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5 and Paragraph 7.B, the settlement of the vested Award shall be made solely in shares of Common Stock. In no event, however, shall any fractional shares be issued. Accordingly, the total number of shares of Common Stock to be issued pursuant to this Award shall, to the extent necessary, be rounded up to the next whole share in order to avoid the issuance of a fractional share.</w:t>
      </w:r>
    </w:p>
    <w:p>
      <w:pPr>
        <w:spacing w:after="0" w:line="148"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Deferred Issuance Date</w:t>
      </w:r>
      <w:r>
        <w:rPr>
          <w:rFonts w:ascii="Times New Roman" w:cs="Times New Roman" w:eastAsia="Times New Roman" w:hAnsi="Times New Roman"/>
          <w:sz w:val="22"/>
          <w:szCs w:val="22"/>
          <w:color w:val="auto"/>
        </w:rPr>
        <w:t>. Notwithstanding any provision to the contrary in this Agreement, no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Stock or other amounts which become issuable or distributable by reason of Participant’s Separation from Service shall actually be issued or distributed to Participant prior to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(i) the first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409A(a)(2). The deferred shares or other distributable amount shall be issued or distributed in a lump sum on the first day of the seventh (7th) month following the date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1" w:right="339" w:bottom="1440" w:gutter="0" w:footer="0" w:header="0"/>
        </w:sectPr>
      </w:pPr>
    </w:p>
    <w:bookmarkStart w:id="117" w:name="page118"/>
    <w:bookmarkEnd w:id="117"/>
    <w:p>
      <w:pPr>
        <w:spacing w:after="0" w:line="236" w:lineRule="auto"/>
        <w:rPr>
          <w:sz w:val="20"/>
          <w:szCs w:val="20"/>
          <w:color w:val="auto"/>
        </w:rPr>
      </w:pPr>
      <w:r>
        <w:rPr>
          <w:rFonts w:ascii="Times New Roman" w:cs="Times New Roman" w:eastAsia="Times New Roman" w:hAnsi="Times New Roman"/>
          <w:sz w:val="22"/>
          <w:szCs w:val="22"/>
          <w:color w:val="auto"/>
        </w:rPr>
        <w:t>Participant’s Separation from Service or, if earlier, the first day of the month immediately following the date the Corporation receives proof of Participant’s death.</w:t>
      </w:r>
    </w:p>
    <w:p>
      <w:pPr>
        <w:spacing w:after="0" w:line="146" w:lineRule="exact"/>
        <w:rPr>
          <w:sz w:val="20"/>
          <w:szCs w:val="20"/>
          <w:color w:val="auto"/>
        </w:rPr>
      </w:pPr>
    </w:p>
    <w:p>
      <w:pPr>
        <w:jc w:val="both"/>
        <w:ind w:firstLine="656"/>
        <w:spacing w:after="0" w:line="227"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Notwithstanding anything to the contrary in this Agreement or the Plan, any shares, cash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issued to Participant pursuant to this Agreement shall be subject to reduction, recovery and/or recoupment to the extent required by any present or future law, government regulation or stock exchange listing requirement.</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 Limit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vesting and issuance of the shares of Common Stock subject to this Award would otherwise constitute a parachute payment under Code Section 280G, then the vesting and issuance of those shares shall be subject to reduction to the extent necessary to assure that the number of shares which vest and are issued under this Award will be limited to the </w:t>
      </w:r>
      <w:r>
        <w:rPr>
          <w:rFonts w:ascii="Times New Roman" w:cs="Times New Roman" w:eastAsia="Times New Roman" w:hAnsi="Times New Roman"/>
          <w:sz w:val="22"/>
          <w:szCs w:val="22"/>
          <w:b w:val="1"/>
          <w:bCs w:val="1"/>
          <w:i w:val="1"/>
          <w:iCs w:val="1"/>
          <w:color w:val="auto"/>
        </w:rPr>
        <w:t>greater</w:t>
      </w:r>
      <w:r>
        <w:rPr>
          <w:rFonts w:ascii="Times New Roman" w:cs="Times New Roman" w:eastAsia="Times New Roman" w:hAnsi="Times New Roman"/>
          <w:sz w:val="22"/>
          <w:szCs w:val="22"/>
          <w:color w:val="auto"/>
        </w:rPr>
        <w:t xml:space="preserve"> of (i) the number of shares of Common Stock which can vest and be issued without triggering a parachute payment under Code Section 280G or (ii) the maximum number of shares of Common Stock which can vest and be issued under this Award so as to provide Participant with the greatest after-tax amount of such vested and issued shares after taking into account any excise tax Participant may incur under Code Section 4999 with respect to those shares and any other benefits or payments to which Participant may be entitled in connection with any change in control or ownership of the Corporation or the subsequent termination of Participant’s Service.</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 limitation of this Paragraph 10 shall apply only to the extent Participant is not otherwise entitled to a Code Section 4999 tax gross-up, pursuant to the terms of the Corporation’s Executive Severance Plan (or any successor plan), with respect to the shares that vest on an accelerated basis in connection with a Change in Control or subsequent cessation of Employee status.</w:t>
      </w:r>
    </w:p>
    <w:p>
      <w:pPr>
        <w:spacing w:after="0" w:line="148" w:lineRule="exact"/>
        <w:rPr>
          <w:rFonts w:ascii="Times New Roman" w:cs="Times New Roman" w:eastAsia="Times New Roman" w:hAnsi="Times New Roman"/>
          <w:sz w:val="22"/>
          <w:szCs w:val="22"/>
          <w:color w:val="auto"/>
        </w:rPr>
      </w:pPr>
    </w:p>
    <w:p>
      <w:pPr>
        <w:jc w:val="both"/>
        <w:ind w:firstLine="656"/>
        <w:spacing w:after="0" w:line="238" w:lineRule="auto"/>
        <w:tabs>
          <w:tab w:leader="none" w:pos="128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Compliance with Laws and Regulations</w:t>
      </w:r>
      <w:r>
        <w:rPr>
          <w:rFonts w:ascii="Times New Roman" w:cs="Times New Roman" w:eastAsia="Times New Roman" w:hAnsi="Times New Roman"/>
          <w:sz w:val="21"/>
          <w:szCs w:val="21"/>
          <w:color w:val="auto"/>
        </w:rPr>
        <w:t>. The issuance of shares of Common Stock pursuant to the Award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45" w:lineRule="exact"/>
        <w:rPr>
          <w:rFonts w:ascii="Times New Roman" w:cs="Times New Roman" w:eastAsia="Times New Roman" w:hAnsi="Times New Roman"/>
          <w:sz w:val="21"/>
          <w:szCs w:val="21"/>
          <w:color w:val="auto"/>
        </w:rPr>
      </w:pPr>
    </w:p>
    <w:p>
      <w:pPr>
        <w:jc w:val="both"/>
        <w:ind w:firstLine="656"/>
        <w:spacing w:after="0" w:line="218"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required to be given or delivered to the Corporation under the terms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 writing and addressed to the Corporation at its principal corporate offices. Any notice required to be given or delivered to Participant shall be in writing and addressed to Participant at the address the Corporation has on file for Participant. All notices shall be deemed effective upon personal delivery or upon deposit in the U.S. mail, postage prepaid and properly addressed to the party to be notified.</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Except to the extent otherwise provided in this Agreement,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48"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This Agreement and the Award evidenced hereby are made and granted pursuant to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in all respects limited by and subject to the terms of the Plan. All decisions of the Plan Administrator with respect to any question or issue arising under the Plan or this Agreement shall be conclusive and binding on all persons having an interest in the Award. To the extent there is any ambiguity as to whether any provision of this Agreement would otherwise contravene one or more applicable requirements or limitations of Code Section 409A and the Treasury Regulations thereunder, such provision shall be interpreted and applied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20" w:lineRule="auto"/>
        <w:rPr>
          <w:sz w:val="20"/>
          <w:szCs w:val="20"/>
          <w:color w:val="auto"/>
        </w:rPr>
      </w:pPr>
      <w:r>
        <w:rPr>
          <w:rFonts w:ascii="Times New Roman" w:cs="Times New Roman" w:eastAsia="Times New Roman" w:hAnsi="Times New Roman"/>
          <w:sz w:val="22"/>
          <w:szCs w:val="22"/>
          <w:color w:val="auto"/>
        </w:rPr>
        <w:t>a manner that complies with the applicable requirements of Code Section 409A and the Treasury Regulations thereunder. For purposes of Code Section 409A, each installment distribution of shares of Common Stock (or other installment distribution hereunder) shall be treated as a separate payment, and Participant’s right to receive each such installment of shares (or other installment distribution hereunder) shall accordingly be treated as a right to receive a series of separate payments.</w:t>
      </w:r>
    </w:p>
    <w:p>
      <w:pPr>
        <w:spacing w:after="0" w:line="148" w:lineRule="exact"/>
        <w:rPr>
          <w:sz w:val="20"/>
          <w:szCs w:val="20"/>
          <w:color w:val="auto"/>
        </w:rPr>
      </w:pPr>
    </w:p>
    <w:p>
      <w:pPr>
        <w:ind w:firstLine="656"/>
        <w:spacing w:after="0" w:line="238"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interpretation, performance and enforcement of this Agreement shall be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California without resort to that State’s conflict-of-laws rules.</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at Will</w:t>
      </w:r>
      <w:r>
        <w:rPr>
          <w:rFonts w:ascii="Times New Roman" w:cs="Times New Roman" w:eastAsia="Times New Roman" w:hAnsi="Times New Roman"/>
          <w:sz w:val="22"/>
          <w:szCs w:val="22"/>
          <w:color w:val="auto"/>
        </w:rPr>
        <w:t>. Nothing in this Agreement or in the Plan shall confer upon Participant any right to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with or without cause.</w:t>
      </w:r>
    </w:p>
    <w:p>
      <w:pPr>
        <w:spacing w:after="0" w:line="148" w:lineRule="exact"/>
        <w:rPr>
          <w:rFonts w:ascii="Times New Roman" w:cs="Times New Roman" w:eastAsia="Times New Roman" w:hAnsi="Times New Roman"/>
          <w:sz w:val="22"/>
          <w:szCs w:val="22"/>
          <w:color w:val="auto"/>
        </w:rPr>
      </w:pPr>
    </w:p>
    <w:p>
      <w:pPr>
        <w:jc w:val="both"/>
        <w:ind w:firstLine="656"/>
        <w:spacing w:after="0" w:line="223" w:lineRule="auto"/>
        <w:tabs>
          <w:tab w:leader="none" w:pos="129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Delivery</w:t>
      </w:r>
      <w:r>
        <w:rPr>
          <w:rFonts w:ascii="Times New Roman" w:cs="Times New Roman" w:eastAsia="Times New Roman" w:hAnsi="Times New Roman"/>
          <w:sz w:val="21"/>
          <w:szCs w:val="21"/>
          <w:color w:val="auto"/>
        </w:rPr>
        <w:t>. The Corporation may, in its sole discretion, decide to deliver by email or other electronic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any documents related to Participant’s current or future participation in the Plan, this Award, the shares of Common Stock, any other securities of the Corporation or any other Corporation-related documents, including notices to stockholders required by applicable law, the Corporation’s Certificate of Incorporation and/or Bylaws. Participant hereby (i) consents to receive such documents by email or other electronic means, (ii) consents to the use of electronic signatures, and (iii) if applicable, agrees to participate in the Plan and/or receive any such documents related to the Plan through an on-line or electronic system established and maintained by the Corporation or a third party designated by the Corporation. The Corporation may deliver the above-described documents to Participant by sending a communication to the email address for Participant the Corporation has on file.</w:t>
      </w:r>
    </w:p>
    <w:p>
      <w:pPr>
        <w:spacing w:after="0" w:line="180"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21"/>
          <w:szCs w:val="21"/>
          <w:color w:val="auto"/>
        </w:rPr>
        <w:t>Please confirm your acceptance of this Award electronically by following the instructions on your personal web portal at Computershare Online Services. Your electronic signature indicates your agreement to be bound by the terms of this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5" w:right="339" w:bottom="1440" w:gutter="0" w:footer="0" w:header="0"/>
        </w:sectPr>
      </w:pPr>
    </w:p>
    <w:bookmarkStart w:id="119" w:name="page120"/>
    <w:bookmarkEnd w:id="119"/>
    <w:p>
      <w:pPr>
        <w:jc w:val="right"/>
        <w:ind w:right="496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right"/>
        <w:ind w:righ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right"/>
        <w:ind w:right="4960"/>
        <w:spacing w:after="0"/>
        <w:rPr>
          <w:sz w:val="20"/>
          <w:szCs w:val="20"/>
          <w:color w:val="auto"/>
        </w:rPr>
      </w:pPr>
      <w:r>
        <w:rPr>
          <w:rFonts w:ascii="Times New Roman" w:cs="Times New Roman" w:eastAsia="Times New Roman" w:hAnsi="Times New Roman"/>
          <w:sz w:val="22"/>
          <w:szCs w:val="22"/>
          <w:color w:val="auto"/>
        </w:rPr>
        <w:t>The following definitions shall be in effect under the Agreement:</w:t>
      </w:r>
    </w:p>
    <w:p>
      <w:pPr>
        <w:spacing w:after="0" w:line="202"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this Restricted Stock Unit Issuance Agreement.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award made to Participant pursuant to the terms of the Agreement.</w:t>
      </w:r>
    </w:p>
    <w:p>
      <w:pPr>
        <w:spacing w:after="0" w:line="179" w:lineRule="exact"/>
        <w:rPr>
          <w:rFonts w:ascii="Times New Roman" w:cs="Times New Roman" w:eastAsia="Times New Roman" w:hAnsi="Times New Roman"/>
          <w:sz w:val="22"/>
          <w:szCs w:val="22"/>
          <w:color w:val="auto"/>
        </w:rPr>
      </w:pPr>
    </w:p>
    <w:p>
      <w:pPr>
        <w:ind w:firstLine="656"/>
        <w:spacing w:after="0" w:line="238" w:lineRule="auto"/>
        <w:tabs>
          <w:tab w:leader="none" w:pos="129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the Award is granted to Participant pursuant to the Agreement and shall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indicated in Paragraph 1 of the Agreement.</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Board of Directors.</w:t>
      </w:r>
    </w:p>
    <w:p>
      <w:pPr>
        <w:spacing w:after="0" w:line="179" w:lineRule="exact"/>
        <w:rPr>
          <w:rFonts w:ascii="Times New Roman" w:cs="Times New Roman" w:eastAsia="Times New Roman" w:hAnsi="Times New Roman"/>
          <w:sz w:val="22"/>
          <w:szCs w:val="22"/>
          <w:color w:val="auto"/>
        </w:rPr>
      </w:pPr>
    </w:p>
    <w:p>
      <w:pPr>
        <w:ind w:firstLine="656"/>
        <w:spacing w:after="0" w:line="238" w:lineRule="auto"/>
        <w:tabs>
          <w:tab w:leader="none" w:pos="12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change in control or ownership of the Corporation which occurs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or more of the following events:</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directly or indirectly by any person or related group of persons (as such term is used in Sections 13(d) and 14(d) of the Exchange Act), other than the Corporation or a person that directly or indirectly controls, is controlled by, or is under control with, the Corporation or an employee benefit plan maintained by any such entity, of beneficial ownership (as defined in Rule 13d-3 of the Exchange Act) of securities of the Corporation that results in such person or related group of persons beneficially owning thirty percent (30%) or more of the total combined voting power of the Corporation’s then-outstanding securities;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recapitalization, consolidation, or other similar transaction to which the Corporation is a party, unless securities representing at least fifty percent (50%) of the combined voting power of the then-outstanding securities of the surviving entity or a parent thereof are immediately thereafter beneficially owned, directly or indirectly and in substantially the same proportion, by the persons who beneficially owned the Corporation’s outstanding voting securities immediately before the transaction;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transfer or disposition of all or substantially all of the Corporation’s assets, unless securities representing at least fifty percent (50%) of the combined voting power of the then-outstanding securities of the entity acquiring the Corporation’s assets or parent thereof are immediately thereafter beneficially owned, directly or indirectly and in substantially the same proportion, by the persons who beneficially owned the Corporation’s outstanding voting securities immediately before the transaction;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recapitalization, consolidation, or other transaction to which the Corporation is a party or the sale, transfer, or other disposition of all or substantially all of the Corporation’s assets if, in either case, the members of the Board immediately prior to consummation of the transaction do not, upon consummation of the transaction, constitute at least a majority of the board of directors of the surviving entity or the entity acquiring the Corporation’s assets, as the case may be, or a parent thereof (for this purpose, any change in the composition of the board of directors that is anticipated or pursuant to an understanding or agreement in connection with a transaction will be deemed to have occurred at the time of the transaction); or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over a period of thirty-six (36) consecutive months or less such that a majority of the Board members ceases by reason of one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I - 1</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418" w:right="339" w:bottom="1440" w:gutter="0" w:footer="0" w:header="0"/>
        </w:sectPr>
      </w:pPr>
    </w:p>
    <w:bookmarkStart w:id="120" w:name="page121"/>
    <w:bookmarkEnd w:id="120"/>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more contested elections for Board membership, to be comprised of individuals who either (a) have been Board members since the beginning of such period or (b) have been elected or nominated for election as Board members during such period by at least a majority of the Board members who were described in clause (a) or who were previously so elected or approved and who were still in office at the time the Board approved such election or nomination;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solely for purposes of determining whether a permissible Section 409A distribution can be made under Paragraph 5.C in connection with such Change in Control event, the period for measuring a change in the composition of the Board shall be limited to a period of twelve (12) consecutive months or less;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provided however, that no Change in Control shall occur if the result of the transaction is to give more ownership or control of the Corporation to any person or related group of persons who held securities representing more than thirty percent (30%) of the combined voting power of the Corporation’s outstanding securities as of March 3, 2003.</w:t>
      </w:r>
    </w:p>
    <w:p>
      <w:pPr>
        <w:spacing w:after="0" w:line="155" w:lineRule="exact"/>
        <w:rPr>
          <w:sz w:val="20"/>
          <w:szCs w:val="20"/>
          <w:color w:val="auto"/>
        </w:rPr>
      </w:pPr>
    </w:p>
    <w:p>
      <w:pPr>
        <w:ind w:left="1280" w:hanging="624"/>
        <w:spacing w:after="0"/>
        <w:tabs>
          <w:tab w:leader="none" w:pos="12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Internal Revenue Code of 1986, as amended.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shares of the Corporation’s common stock.</w:t>
      </w:r>
    </w:p>
    <w:p>
      <w:pPr>
        <w:spacing w:after="0" w:line="179"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H2O America, a Delaware corporation, and any successor corporation to all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all of the assets or voting stock of H2O America which shall by appropriate action adopt the Plan and/or assume the Award.</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 individual who is in the employ of the Corporation (or any Parent or Subsidiary),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the control and direction of the employer entity as to both the work to be performed and the manner and method of performance;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solely for purposes of determining whether Participant has incurred a Separation from Service, the term “Employee” shall have the meaning assigned to such term in the Separation from Service definition set forth in this Appendix.</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of Common Stock on any relevant date shall be the closing selling price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date in question on the Stock Exchange on which the Common Stock is at that time primarily traded, as such price is officially quoted in the composite tape of transactions on such exchange. If there is no reported sale of Common Stock on such Stock Exchange on the date in question, then the Fair Market Value shall be the closing selling price on the exchange on the last preceding date for which such quotation exists.</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w:t>
      </w:r>
    </w:p>
    <w:p>
      <w:pPr>
        <w:spacing w:after="0" w:line="18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by Participant that results in substantial harm to the business or property of the Corporation (or any Parent or Subsidiary) and that constitutes dishonesty, intentional breach of fiduciary obligation or intentional wrongdoing,</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conviction of a criminal violation involving fraud or dishonesty, or</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intentional and knowing participation in the preparation or release of false or materially misleading financial statements relating to the operations and financial condition of the Corporation (or any Parent or Subsidiary) or Participant’s intentional and knowing submission of any false or erroneous certification required of him or her under the Sarbanes-Oxley Act of 2002 or any securities exchange on which the Common Stock is at the time listed for trading.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I - 2</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5" w:right="339" w:bottom="1440" w:gutter="0" w:footer="0" w:header="0"/>
        </w:sectPr>
      </w:pPr>
    </w:p>
    <w:bookmarkStart w:id="121" w:name="page122"/>
    <w:bookmarkEnd w:id="121"/>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or this Agreement, to constitute grounds for termination for Good Cause.</w:t>
      </w:r>
    </w:p>
    <w:p>
      <w:pPr>
        <w:spacing w:after="0" w:line="145" w:lineRule="exact"/>
        <w:rPr>
          <w:sz w:val="20"/>
          <w:szCs w:val="20"/>
          <w:color w:val="auto"/>
        </w:rPr>
      </w:pPr>
    </w:p>
    <w:p>
      <w:pPr>
        <w:ind w:right="20" w:firstLine="656"/>
        <w:spacing w:after="0" w:line="238"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exist with respect to Participant if and only if, without Participant’s express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consent: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significantly adverse change in the nature or the scope of Participant’s authority;</w:t>
      </w:r>
    </w:p>
    <w:p>
      <w:pPr>
        <w:spacing w:after="0" w:line="17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assigned duties materially inconsistent with Participant’s present duties, responsibilities and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status;</w:t>
      </w:r>
    </w:p>
    <w:p>
      <w:pPr>
        <w:spacing w:after="0" w:line="15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reduction in the sum of Participant’s rate of base salary and target bonus; or</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changes by fifty-five (55) miles or more the principal location in which Participant is required to perform services;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however</w:t>
      </w:r>
      <w:r>
        <w:rPr>
          <w:rFonts w:ascii="Times New Roman" w:cs="Times New Roman" w:eastAsia="Times New Roman" w:hAnsi="Times New Roman"/>
          <w:sz w:val="22"/>
          <w:szCs w:val="22"/>
          <w:color w:val="auto"/>
        </w:rPr>
        <w:t>, that, before Participant may resign for any Good Reason event or transaction, Participant must first provide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written notice to the Corporation (or the Parent or Subsidiary employing Participant) identifying such Good Reason event or transaction within ninety (90) days after the occurrence of such event or transaction and the Corporation (or the Parent or Subsidiary employing Participant) shall have failed to cure such event or transaction within thirty (30) days after receipt of such written notice, and Participant must resign for Good Reason within thirty (30) days following the end of the cure period.</w:t>
      </w:r>
    </w:p>
    <w:p>
      <w:pPr>
        <w:spacing w:after="0" w:line="148" w:lineRule="exact"/>
        <w:rPr>
          <w:sz w:val="20"/>
          <w:szCs w:val="20"/>
          <w:color w:val="auto"/>
        </w:rPr>
      </w:pPr>
    </w:p>
    <w:p>
      <w:pPr>
        <w:ind w:right="20" w:firstLine="656"/>
        <w:spacing w:after="0" w:line="238" w:lineRule="auto"/>
        <w:tabs>
          <w:tab w:leader="none" w:pos="128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Measurement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period specified on attached Schedule I over which the attainment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Objective is to be measured.</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1934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Securities Exchange Act of 1934, as amended.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person to whom the Award is made pursuant to the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21" w:lineRule="auto"/>
        <w:tabs>
          <w:tab w:leader="none" w:pos="127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corporation (other than the Corporation) in an unbroken chain of corporations ending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Objective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attainment of the customer affordability objective set forth in attached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I, as calculated over the Measurement Period.</w:t>
      </w:r>
    </w:p>
    <w:p>
      <w:pPr>
        <w:spacing w:after="0" w:line="146" w:lineRule="exact"/>
        <w:rPr>
          <w:rFonts w:ascii="Times New Roman" w:cs="Times New Roman" w:eastAsia="Times New Roman" w:hAnsi="Times New Roman"/>
          <w:sz w:val="22"/>
          <w:szCs w:val="22"/>
          <w:color w:val="auto"/>
        </w:rPr>
      </w:pPr>
    </w:p>
    <w:p>
      <w:pPr>
        <w:jc w:val="both"/>
        <w:ind w:firstLine="656"/>
        <w:spacing w:after="0" w:line="228" w:lineRule="auto"/>
        <w:tabs>
          <w:tab w:leader="none" w:pos="129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Permanent Disability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Participant’s inability to engage in any substantial gainful activity by reason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medically determinable physical or mental impairment expected to result in death or to be of continuous duration of twelve</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or more.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I - 3</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422" w:right="339" w:bottom="1440" w:gutter="0" w:footer="0" w:header="0"/>
        </w:sectPr>
      </w:pPr>
    </w:p>
    <w:bookmarkStart w:id="122" w:name="page123"/>
    <w:bookmarkEnd w:id="122"/>
    <w:p>
      <w:pPr>
        <w:ind w:left="1300" w:hanging="644"/>
        <w:spacing w:after="0"/>
        <w:tabs>
          <w:tab w:leader="none" w:pos="13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Long-Term Incentive Plan.</w:t>
      </w:r>
    </w:p>
    <w:p>
      <w:pPr>
        <w:spacing w:after="0" w:line="179" w:lineRule="exact"/>
        <w:rPr>
          <w:rFonts w:ascii="Times New Roman" w:cs="Times New Roman" w:eastAsia="Times New Roman" w:hAnsi="Times New Roman"/>
          <w:sz w:val="22"/>
          <w:szCs w:val="22"/>
          <w:color w:val="auto"/>
        </w:rPr>
      </w:pPr>
    </w:p>
    <w:p>
      <w:pPr>
        <w:ind w:firstLine="656"/>
        <w:spacing w:after="0" w:line="238" w:lineRule="auto"/>
        <w:tabs>
          <w:tab w:leader="none" w:pos="127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either the Board or a committee of the Board acting in its capacity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of the Plan.</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Qualifying 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on which there occurs a Change in Control that also qualifies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47" w:lineRule="exact"/>
        <w:rPr>
          <w:rFonts w:ascii="Times New Roman" w:cs="Times New Roman" w:eastAsia="Times New Roman" w:hAnsi="Times New Roman"/>
          <w:sz w:val="22"/>
          <w:szCs w:val="22"/>
          <w:color w:val="auto"/>
        </w:rPr>
      </w:pPr>
    </w:p>
    <w:p>
      <w:pPr>
        <w:jc w:val="both"/>
        <w:ind w:firstLine="656"/>
        <w:spacing w:after="0" w:line="227" w:lineRule="auto"/>
        <w:tabs>
          <w:tab w:leader="none" w:pos="126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voluntary cessation of Employee status (i) after reaching age 55 and at least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five (5) years of Service with the Corporation (or any Parent or Subsidiary) and (ii) where Participant’s age plus years of Service with the Corporation (or any Parent or Subsidiary) equals at least 65.</w:t>
      </w:r>
    </w:p>
    <w:p>
      <w:pPr>
        <w:spacing w:after="0" w:line="14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6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Separation from Service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Participant’s cessation of Employee status by reason of Participant’s death,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retirement or termination of employment. Participant shall be deemed to have terminated employment for such purpose at such time as the level of Participant’s bona fide services to be performed as an Employee (or as a consultant or independent contractor) permanently decreases to a level that is not more than twenty percent (20%) of the average level of services Participant rendered as an Employee during the immediately preceding thirty-six (36) months (or such shorter period for which Participant may have rendered such services). Solely for purposes of determining when a Separation from Service occurs, Participant will be deemed to continue in “Employee” status for so long as Participant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w:t>
      </w:r>
    </w:p>
    <w:p>
      <w:pPr>
        <w:spacing w:after="0" w:line="4" w:lineRule="exact"/>
        <w:rPr>
          <w:rFonts w:ascii="Times New Roman" w:cs="Times New Roman" w:eastAsia="Times New Roman" w:hAnsi="Times New Roman"/>
          <w:sz w:val="21"/>
          <w:szCs w:val="21"/>
          <w:color w:val="auto"/>
        </w:rPr>
      </w:pPr>
    </w:p>
    <w:p>
      <w:pPr>
        <w:jc w:val="both"/>
        <w:ind w:firstLine="8"/>
        <w:spacing w:after="0" w:line="210" w:lineRule="auto"/>
        <w:tabs>
          <w:tab w:leader="none" w:pos="31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150"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performance of services for the Corporation (or any Parent or Subsidiary)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capacity of an Employee, a non-employee member of the Board or a consultant or independent advisor. Participant shall be deemed to cease Service immediately upon the occurrence of either of the following events: (i) Participant no longer performs services in any of the foregoing capacities for the Corporation (or any Parent or Subsidiary) or (ii) the entity for which Participant performs such services ceases to remain a Parent or Subsidiary of the Corporation, even though Participant may subsequently continue to perform services for that entity. Service as an Employee shall not be deemed to cease during a period of military leave, sick leave or other personal leave approved by the Corporation;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the following special provisions shall be in effect for any such leave: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I - 4</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1" w:right="339" w:bottom="1440" w:gutter="0" w:footer="0" w:header="0"/>
        </w:sectPr>
      </w:pPr>
    </w:p>
    <w:bookmarkStart w:id="123" w:name="page124"/>
    <w:bookmarkEnd w:id="123"/>
    <w:p>
      <w:pPr>
        <w:jc w:val="both"/>
        <w:ind w:firstLine="1304"/>
        <w:spacing w:after="0" w:line="220" w:lineRule="auto"/>
        <w:tabs>
          <w:tab w:leader="none" w:pos="193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Participant’s position of employment with the Corporation (or any Parent or Subsidiary) or any substantially similar position of employment.</w:t>
      </w:r>
    </w:p>
    <w:p>
      <w:pPr>
        <w:spacing w:after="0" w:line="156"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6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American Stock Exchange, the Nasdaq Global or Global Select Market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York Stock Exchange.</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corporation (other than the Corporation) in an unbroken chain of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48"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Target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target number of shares as set forth in Paragraph 1 of the Agreement.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AB. </w:t>
      </w: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color w:val="auto"/>
        </w:rPr>
        <w:t xml:space="preserve"> shall mean (i) the employee portion of the federal, state and local employment taxes required to be withheld by the Corporation in connection with the vesting of the shares of Common Stock (or any other property) under the Award and (ii) the federal, state and local income taxes required to be withheld by the Corporation in connection with the issuance of those vested shares (or any other property).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 - 5</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651819569.4</w:t>
      </w:r>
    </w:p>
    <w:p>
      <w:pPr>
        <w:sectPr>
          <w:pgSz w:w="11900" w:h="16838" w:orient="portrait"/>
          <w:cols w:equalWidth="0" w:num="1">
            <w:col w:w="11240"/>
          </w:cols>
          <w:pgMar w:left="320" w:top="1395" w:right="339" w:bottom="1440" w:gutter="0" w:footer="0" w:header="0"/>
        </w:sectPr>
      </w:pPr>
    </w:p>
    <w:bookmarkStart w:id="124" w:name="page125"/>
    <w:bookmarkEnd w:id="124"/>
    <w:p>
      <w:pPr>
        <w:ind w:left="538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64" w:lineRule="exact"/>
        <w:rPr>
          <w:sz w:val="20"/>
          <w:szCs w:val="20"/>
          <w:color w:val="auto"/>
        </w:rPr>
      </w:pPr>
    </w:p>
    <w:p>
      <w:pPr>
        <w:ind w:left="100" w:right="300" w:firstLine="647"/>
        <w:spacing w:after="0" w:line="271" w:lineRule="auto"/>
        <w:rPr>
          <w:sz w:val="20"/>
          <w:szCs w:val="20"/>
          <w:color w:val="auto"/>
        </w:rPr>
      </w:pPr>
      <w:r>
        <w:rPr>
          <w:rFonts w:ascii="Times New Roman" w:cs="Times New Roman" w:eastAsia="Times New Roman" w:hAnsi="Times New Roman"/>
          <w:sz w:val="22"/>
          <w:szCs w:val="22"/>
          <w:color w:val="auto"/>
        </w:rPr>
        <w:t>The following is the insider trading policy (the “Policy”) of H2O America (“H2O America or the Company”) and its subsidiaries (collectively, the “Companies”).</w:t>
      </w:r>
    </w:p>
    <w:p>
      <w:pPr>
        <w:spacing w:after="0" w:line="198" w:lineRule="exact"/>
        <w:rPr>
          <w:sz w:val="20"/>
          <w:szCs w:val="20"/>
          <w:color w:val="auto"/>
        </w:rPr>
      </w:pPr>
    </w:p>
    <w:p>
      <w:pPr>
        <w:ind w:left="740" w:hanging="642"/>
        <w:spacing w:after="0"/>
        <w:tabs>
          <w:tab w:leader="none" w:pos="7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 AND PURPOSE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00" w:firstLine="647"/>
        <w:spacing w:after="0" w:line="250" w:lineRule="auto"/>
        <w:rPr>
          <w:sz w:val="20"/>
          <w:szCs w:val="20"/>
          <w:color w:val="auto"/>
        </w:rPr>
      </w:pPr>
      <w:r>
        <w:rPr>
          <w:rFonts w:ascii="Times New Roman" w:cs="Times New Roman" w:eastAsia="Times New Roman" w:hAnsi="Times New Roman"/>
          <w:sz w:val="22"/>
          <w:szCs w:val="22"/>
          <w:color w:val="auto"/>
        </w:rPr>
        <w:t>The federal securities laws prohibit any person from purchasing or selling securities of the Companies on the basis of material, nonpublic information concerning the Companies, or from disclosing material, nonpublic information to others who might trade on the basis of that information. These laws impose severe sanctions, including criminal liabilities, on individuals who violate them. In addition, the Securities and Exchange Commission (“SEC”) has the authority to impose large fines on H2O America and on the directors, executive officers and controlling stockholders of H2O America if its employees and directors engage in insider trading and H2O America has failed to take appropriate steps to prevent it (so-called “controlling person” liability).</w:t>
      </w:r>
    </w:p>
    <w:p>
      <w:pPr>
        <w:spacing w:after="0" w:line="2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This Policy is adopted in light of these legal requirements, and with the goal of helping to:</w:t>
      </w:r>
    </w:p>
    <w:p>
      <w:pPr>
        <w:spacing w:after="0" w:line="247" w:lineRule="exact"/>
        <w:rPr>
          <w:sz w:val="20"/>
          <w:szCs w:val="20"/>
          <w:color w:val="auto"/>
        </w:rPr>
      </w:pPr>
    </w:p>
    <w:p>
      <w:pPr>
        <w:ind w:left="1380" w:hanging="608"/>
        <w:spacing w:after="0"/>
        <w:tabs>
          <w:tab w:leader="none" w:pos="13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27" w:lineRule="exact"/>
        <w:rPr>
          <w:rFonts w:ascii="Times New Roman" w:cs="Times New Roman" w:eastAsia="Times New Roman" w:hAnsi="Times New Roman"/>
          <w:sz w:val="22"/>
          <w:szCs w:val="22"/>
          <w:color w:val="auto"/>
        </w:rPr>
      </w:pPr>
    </w:p>
    <w:p>
      <w:pPr>
        <w:ind w:left="1400" w:hanging="629"/>
        <w:spacing w:after="0" w:line="243" w:lineRule="auto"/>
        <w:tabs>
          <w:tab w:leader="none" w:pos="139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proxy statement disclosure of reporting violations by persons subject to Section 16 of the Securities Exchange Act of 1934, as amended (the “Exchange Act”);</w:t>
      </w:r>
    </w:p>
    <w:p>
      <w:pPr>
        <w:ind w:left="1380" w:hanging="609"/>
        <w:spacing w:after="0"/>
        <w:tabs>
          <w:tab w:leader="none" w:pos="138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 even the appearance of impropriety on the part of those employed by, or associated with, the Companies;</w:t>
      </w:r>
    </w:p>
    <w:p>
      <w:pPr>
        <w:spacing w:after="0" w:line="16" w:lineRule="exact"/>
        <w:rPr>
          <w:rFonts w:ascii="Times New Roman" w:cs="Times New Roman" w:eastAsia="Times New Roman" w:hAnsi="Times New Roman"/>
          <w:sz w:val="21"/>
          <w:szCs w:val="21"/>
          <w:color w:val="auto"/>
        </w:rPr>
      </w:pPr>
    </w:p>
    <w:p>
      <w:pPr>
        <w:ind w:left="1380" w:hanging="608"/>
        <w:spacing w:after="0"/>
        <w:tabs>
          <w:tab w:leader="none" w:pos="13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H2O America from controlling person liability; and</w:t>
      </w:r>
    </w:p>
    <w:p>
      <w:pPr>
        <w:spacing w:after="0" w:line="15" w:lineRule="exact"/>
        <w:rPr>
          <w:rFonts w:ascii="Times New Roman" w:cs="Times New Roman" w:eastAsia="Times New Roman" w:hAnsi="Times New Roman"/>
          <w:sz w:val="22"/>
          <w:szCs w:val="22"/>
          <w:color w:val="auto"/>
        </w:rPr>
      </w:pPr>
    </w:p>
    <w:p>
      <w:pPr>
        <w:ind w:left="1380" w:hanging="608"/>
        <w:spacing w:after="0"/>
        <w:tabs>
          <w:tab w:leader="none" w:pos="13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Companies.</w:t>
      </w:r>
    </w:p>
    <w:p>
      <w:pPr>
        <w:spacing w:after="0" w:line="223" w:lineRule="exact"/>
        <w:rPr>
          <w:sz w:val="20"/>
          <w:szCs w:val="20"/>
          <w:color w:val="auto"/>
        </w:rPr>
      </w:pPr>
    </w:p>
    <w:p>
      <w:pPr>
        <w:jc w:val="both"/>
        <w:ind w:left="100" w:firstLine="647"/>
        <w:spacing w:after="0" w:line="251" w:lineRule="auto"/>
        <w:rPr>
          <w:sz w:val="20"/>
          <w:szCs w:val="20"/>
          <w:color w:val="auto"/>
        </w:rPr>
      </w:pPr>
      <w:r>
        <w:rPr>
          <w:rFonts w:ascii="Times New Roman" w:cs="Times New Roman" w:eastAsia="Times New Roman" w:hAnsi="Times New Roman"/>
          <w:sz w:val="22"/>
          <w:szCs w:val="22"/>
          <w:color w:val="auto"/>
        </w:rPr>
        <w:t>The Corporate Secretary or the Assistant Corporate Secretary of H2O America (collectively, the “Corporate Secretaries”) has the authority to impose restrictions on trading in the Companies’ securities by appropriate individuals at any time, in addition to the automatic restrictions imposed herein. In such event, the Corporate Secretaries will notify the affected individuals to inform them of the restrictions. Any individual who has placed a limit order or open instruction to buy or sell the securities of the Companies shall bear responsibility for cancelling such instructions immediately in the event restrictions are imposed on their ability to trade in accordance with the above.</w:t>
      </w:r>
    </w:p>
    <w:p>
      <w:pPr>
        <w:spacing w:after="0" w:line="208" w:lineRule="exact"/>
        <w:rPr>
          <w:sz w:val="20"/>
          <w:szCs w:val="20"/>
          <w:color w:val="auto"/>
        </w:rPr>
      </w:pPr>
    </w:p>
    <w:p>
      <w:pPr>
        <w:ind w:left="740" w:right="260" w:hanging="642"/>
        <w:spacing w:after="0" w:line="271" w:lineRule="auto"/>
        <w:tabs>
          <w:tab w:leader="none" w:pos="7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TRADING WHILE AWARE OF MATERIAL NONPUBLIC INFORMATION; PROHIBITION ON TIPPING OTHERS</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1380" w:hanging="634"/>
        <w:spacing w:after="0"/>
        <w:tabs>
          <w:tab w:leader="none" w:pos="13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This Section 2 applies to (a) all directors, officers, employees, consultants, representatives, or independent contractors of the Companies, (b) all family members who share the same address</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100" w:right="439" w:bottom="1440" w:gutter="0" w:footer="0" w:header="0"/>
        </w:sectPr>
      </w:pPr>
    </w:p>
    <w:bookmarkStart w:id="125" w:name="page126"/>
    <w:bookmarkEnd w:id="125"/>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ind w:left="100" w:right="820"/>
        <w:spacing w:after="0" w:line="271" w:lineRule="auto"/>
        <w:rPr>
          <w:sz w:val="20"/>
          <w:szCs w:val="20"/>
          <w:color w:val="auto"/>
        </w:rPr>
      </w:pPr>
      <w:r>
        <w:rPr>
          <w:rFonts w:ascii="Times New Roman" w:cs="Times New Roman" w:eastAsia="Times New Roman" w:hAnsi="Times New Roman"/>
          <w:sz w:val="22"/>
          <w:szCs w:val="22"/>
          <w:color w:val="auto"/>
        </w:rPr>
        <w:t>as, or are financially dependent on, such persons, and (c) all corporations, partnerships, trusts or other entities owned or controlled by any of the persons listed above in (a) and (b).</w:t>
      </w:r>
    </w:p>
    <w:p>
      <w:pPr>
        <w:spacing w:after="0" w:line="185" w:lineRule="exact"/>
        <w:rPr>
          <w:sz w:val="20"/>
          <w:szCs w:val="20"/>
          <w:color w:val="auto"/>
        </w:rPr>
      </w:pPr>
    </w:p>
    <w:p>
      <w:pPr>
        <w:ind w:left="1380" w:hanging="634"/>
        <w:spacing w:after="0"/>
        <w:tabs>
          <w:tab w:leader="none" w:pos="13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No person covered by this Section 2 may:</w:t>
      </w:r>
    </w:p>
    <w:p>
      <w:pPr>
        <w:spacing w:after="0" w:line="260" w:lineRule="exact"/>
        <w:rPr>
          <w:sz w:val="20"/>
          <w:szCs w:val="20"/>
          <w:color w:val="auto"/>
        </w:rPr>
      </w:pPr>
    </w:p>
    <w:p>
      <w:pPr>
        <w:ind w:left="1400" w:right="120" w:hanging="629"/>
        <w:spacing w:after="0" w:line="271" w:lineRule="auto"/>
        <w:tabs>
          <w:tab w:leader="none" w:pos="139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sell any securities of the Companies while he or she is aware of any material, nonpublic information concerning the Companies;</w:t>
      </w:r>
    </w:p>
    <w:p>
      <w:pPr>
        <w:spacing w:after="0" w:line="184" w:lineRule="exact"/>
        <w:rPr>
          <w:rFonts w:ascii="Times New Roman" w:cs="Times New Roman" w:eastAsia="Times New Roman" w:hAnsi="Times New Roman"/>
          <w:sz w:val="22"/>
          <w:szCs w:val="22"/>
          <w:color w:val="auto"/>
        </w:rPr>
      </w:pPr>
    </w:p>
    <w:p>
      <w:pPr>
        <w:ind w:left="1400" w:right="120" w:hanging="629"/>
        <w:spacing w:after="0" w:line="271" w:lineRule="auto"/>
        <w:tabs>
          <w:tab w:leader="none" w:pos="13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to any other person any material, nonpublic information concerning the Companies if it is reasonably foreseeable that such person may use that information in purchasing or selling securities of the Companies;</w:t>
      </w:r>
    </w:p>
    <w:p>
      <w:pPr>
        <w:spacing w:after="0" w:line="184" w:lineRule="exact"/>
        <w:rPr>
          <w:rFonts w:ascii="Times New Roman" w:cs="Times New Roman" w:eastAsia="Times New Roman" w:hAnsi="Times New Roman"/>
          <w:sz w:val="22"/>
          <w:szCs w:val="22"/>
          <w:color w:val="auto"/>
        </w:rPr>
      </w:pPr>
    </w:p>
    <w:p>
      <w:pPr>
        <w:jc w:val="both"/>
        <w:ind w:left="1400" w:right="120" w:hanging="629"/>
        <w:spacing w:after="0" w:line="263" w:lineRule="auto"/>
        <w:tabs>
          <w:tab w:leader="none" w:pos="139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pledge or donate any securities of another company while he or she is aware of any material, nonpublic information concerning such other company which he or she learned in the course of his or her service as a director, employee or consultant of the Companies; or</w:t>
      </w:r>
    </w:p>
    <w:p>
      <w:pPr>
        <w:spacing w:after="0" w:line="194" w:lineRule="exact"/>
        <w:rPr>
          <w:rFonts w:ascii="Times New Roman" w:cs="Times New Roman" w:eastAsia="Times New Roman" w:hAnsi="Times New Roman"/>
          <w:sz w:val="22"/>
          <w:szCs w:val="22"/>
          <w:color w:val="auto"/>
        </w:rPr>
      </w:pPr>
    </w:p>
    <w:p>
      <w:pPr>
        <w:jc w:val="both"/>
        <w:ind w:left="1400" w:right="100" w:hanging="629"/>
        <w:spacing w:after="0" w:line="252" w:lineRule="auto"/>
        <w:tabs>
          <w:tab w:leader="none" w:pos="13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to any other person any material, nonpublic information concerning another company which he or she learned in the course of his or her service as a director, employee or consultant of the Companies if it is reasonably foreseeable that such person may use that information in purchasing or selling securities of such other company.</w:t>
      </w:r>
    </w:p>
    <w:p>
      <w:pPr>
        <w:spacing w:after="0" w:line="220" w:lineRule="exact"/>
        <w:rPr>
          <w:sz w:val="20"/>
          <w:szCs w:val="20"/>
          <w:color w:val="auto"/>
        </w:rPr>
      </w:pPr>
    </w:p>
    <w:p>
      <w:pPr>
        <w:jc w:val="both"/>
        <w:ind w:left="100" w:right="100" w:firstLine="673"/>
        <w:spacing w:after="0" w:line="250" w:lineRule="auto"/>
        <w:rPr>
          <w:sz w:val="20"/>
          <w:szCs w:val="20"/>
          <w:color w:val="auto"/>
        </w:rPr>
      </w:pPr>
      <w:r>
        <w:rPr>
          <w:rFonts w:ascii="Times New Roman" w:cs="Times New Roman" w:eastAsia="Times New Roman" w:hAnsi="Times New Roman"/>
          <w:sz w:val="22"/>
          <w:szCs w:val="22"/>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press release,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employees of the Companies, or if it is only available to a select group of analysts, brokers and institutional investors.</w:t>
      </w:r>
    </w:p>
    <w:p>
      <w:pPr>
        <w:spacing w:after="0" w:line="207" w:lineRule="exact"/>
        <w:rPr>
          <w:sz w:val="20"/>
          <w:szCs w:val="20"/>
          <w:color w:val="auto"/>
        </w:rPr>
      </w:pPr>
    </w:p>
    <w:p>
      <w:pPr>
        <w:jc w:val="both"/>
        <w:ind w:left="100" w:right="100" w:firstLine="673"/>
        <w:spacing w:after="0" w:line="253" w:lineRule="auto"/>
        <w:rPr>
          <w:sz w:val="20"/>
          <w:szCs w:val="20"/>
          <w:color w:val="auto"/>
        </w:rPr>
      </w:pPr>
      <w:r>
        <w:rPr>
          <w:rFonts w:ascii="Times New Roman" w:cs="Times New Roman" w:eastAsia="Times New Roman" w:hAnsi="Times New Roman"/>
          <w:sz w:val="22"/>
          <w:szCs w:val="22"/>
          <w:color w:val="auto"/>
        </w:rPr>
        <w:t>Each person covered by this Section 2 must refrain from trading, even after material information has been released to the public, for a period sufficient to permit thorough public dissemination and evaluation of the information. Generally, information will be considered public on the close of business of the first full trading day after such information is publicly disclosed by the Companies by issuing a press release through Business Wire (or release through another national wire service).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Information should be regarded as material if there is a likelihood that it would be considered important by an investor in making a decision regarding the purchase or sale of stock. Any information or important development that could reasonably affect the business or financial condition of an issuer or the market price of its securities should be considered material. However,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jc w:val="both"/>
        <w:ind w:left="20"/>
        <w:spacing w:after="0" w:line="257" w:lineRule="auto"/>
        <w:rPr>
          <w:sz w:val="20"/>
          <w:szCs w:val="20"/>
          <w:color w:val="auto"/>
        </w:rPr>
      </w:pPr>
      <w:r>
        <w:rPr>
          <w:rFonts w:ascii="Times New Roman" w:cs="Times New Roman" w:eastAsia="Times New Roman" w:hAnsi="Times New Roman"/>
          <w:sz w:val="22"/>
          <w:szCs w:val="22"/>
          <w:color w:val="auto"/>
        </w:rPr>
        <w:t>there is no bright-line standard for assessing materiality; rather, materiality is based on an assessment of all of the facts and circumstances. Although it may be difficult to determine whether certain information is material, there are various categories of information that would be regarded as material in most circumstances. Examples of such information are:</w:t>
      </w:r>
    </w:p>
    <w:p>
      <w:pPr>
        <w:spacing w:after="0" w:line="213" w:lineRule="exact"/>
        <w:rPr>
          <w:sz w:val="20"/>
          <w:szCs w:val="20"/>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and projections of future earnings and losses;</w:t>
      </w:r>
    </w:p>
    <w:p>
      <w:pPr>
        <w:spacing w:after="0" w:line="27"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pricing changes or regulatory development in rate cases;</w:t>
      </w:r>
    </w:p>
    <w:p>
      <w:pPr>
        <w:spacing w:after="0" w:line="3"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corporate partnering transactions or proposed acquisitions or divestitures;</w:t>
      </w:r>
    </w:p>
    <w:p>
      <w:pPr>
        <w:spacing w:after="0" w:line="3"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Resignation or proposed departure of key personnel;</w:t>
      </w:r>
    </w:p>
    <w:p>
      <w:pPr>
        <w:spacing w:after="0" w:line="3"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project or product announcements of a significant nature;</w:t>
      </w:r>
    </w:p>
    <w:p>
      <w:pPr>
        <w:spacing w:after="0" w:line="3" w:lineRule="exact"/>
        <w:rPr>
          <w:rFonts w:ascii="Times New Roman" w:cs="Times New Roman" w:eastAsia="Times New Roman" w:hAnsi="Times New Roman"/>
          <w:sz w:val="22"/>
          <w:szCs w:val="22"/>
          <w:color w:val="auto"/>
        </w:rPr>
      </w:pPr>
    </w:p>
    <w:p>
      <w:pPr>
        <w:ind w:left="1320" w:hanging="628"/>
        <w:spacing w:after="0"/>
        <w:tabs>
          <w:tab w:leader="none" w:pos="1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commencement or changes in dividends;</w:t>
      </w:r>
    </w:p>
    <w:p>
      <w:pPr>
        <w:spacing w:after="0" w:line="5"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Planned stock splits;</w:t>
      </w:r>
    </w:p>
    <w:p>
      <w:pPr>
        <w:spacing w:after="0" w:line="15"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w:t>
      </w:r>
    </w:p>
    <w:p>
      <w:pPr>
        <w:spacing w:after="0" w:line="3" w:lineRule="exact"/>
        <w:rPr>
          <w:rFonts w:ascii="Times New Roman" w:cs="Times New Roman" w:eastAsia="Times New Roman" w:hAnsi="Times New Roman"/>
          <w:sz w:val="22"/>
          <w:szCs w:val="22"/>
          <w:color w:val="auto"/>
        </w:rPr>
      </w:pPr>
    </w:p>
    <w:p>
      <w:pPr>
        <w:ind w:left="1320" w:hanging="628"/>
        <w:spacing w:after="0"/>
        <w:tabs>
          <w:tab w:leader="none" w:pos="1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drinking water violations;</w:t>
      </w:r>
    </w:p>
    <w:p>
      <w:pPr>
        <w:spacing w:after="0" w:line="3"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 actions by regulators;</w:t>
      </w:r>
    </w:p>
    <w:p>
      <w:pPr>
        <w:spacing w:after="0" w:line="3" w:lineRule="exact"/>
        <w:rPr>
          <w:rFonts w:ascii="Times New Roman" w:cs="Times New Roman" w:eastAsia="Times New Roman" w:hAnsi="Times New Roman"/>
          <w:sz w:val="22"/>
          <w:szCs w:val="22"/>
          <w:color w:val="auto"/>
        </w:rPr>
      </w:pPr>
    </w:p>
    <w:p>
      <w:pPr>
        <w:ind w:left="1300" w:hanging="609"/>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operations, such as a significant interruption or curtailment at one of our production facilities;</w:t>
      </w:r>
    </w:p>
    <w:p>
      <w:pPr>
        <w:spacing w:after="0" w:line="5"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 security incident;</w:t>
      </w:r>
    </w:p>
    <w:p>
      <w:pPr>
        <w:spacing w:after="0" w:line="15" w:lineRule="exact"/>
        <w:rPr>
          <w:rFonts w:ascii="Times New Roman" w:cs="Times New Roman" w:eastAsia="Times New Roman" w:hAnsi="Times New Roman"/>
          <w:sz w:val="22"/>
          <w:szCs w:val="22"/>
          <w:color w:val="auto"/>
        </w:rPr>
      </w:pPr>
    </w:p>
    <w:p>
      <w:pPr>
        <w:ind w:left="1300" w:hanging="608"/>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and</w:t>
      </w:r>
    </w:p>
    <w:p>
      <w:pPr>
        <w:spacing w:after="0" w:line="3" w:lineRule="exact"/>
        <w:rPr>
          <w:rFonts w:ascii="Times New Roman" w:cs="Times New Roman" w:eastAsia="Times New Roman" w:hAnsi="Times New Roman"/>
          <w:sz w:val="22"/>
          <w:szCs w:val="22"/>
          <w:color w:val="auto"/>
        </w:rPr>
      </w:pPr>
    </w:p>
    <w:p>
      <w:pPr>
        <w:ind w:left="1320" w:hanging="628"/>
        <w:spacing w:after="0" w:line="248" w:lineRule="auto"/>
        <w:tabs>
          <w:tab w:leader="none" w:pos="131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factors which would cause the Companies' financial results to be substantially different from previous public disclosure of financial guidance or estimates.</w:t>
      </w: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If you have questions as to the materiality of information, please contact the Corporate Secretaries for clarification.</w:t>
      </w:r>
    </w:p>
    <w:p>
      <w:pPr>
        <w:spacing w:after="0" w:line="260" w:lineRule="exact"/>
        <w:rPr>
          <w:sz w:val="20"/>
          <w:szCs w:val="20"/>
          <w:color w:val="auto"/>
        </w:rPr>
      </w:pPr>
    </w:p>
    <w:p>
      <w:pPr>
        <w:ind w:left="1300" w:hanging="608"/>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Exceptions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20" w:firstLine="673"/>
        <w:spacing w:after="0" w:line="295" w:lineRule="auto"/>
        <w:rPr>
          <w:sz w:val="20"/>
          <w:szCs w:val="20"/>
          <w:color w:val="auto"/>
        </w:rPr>
      </w:pPr>
      <w:r>
        <w:rPr>
          <w:rFonts w:ascii="Times New Roman" w:cs="Times New Roman" w:eastAsia="Times New Roman" w:hAnsi="Times New Roman"/>
          <w:sz w:val="21"/>
          <w:szCs w:val="21"/>
          <w:color w:val="auto"/>
        </w:rPr>
        <w:t>The prohibition on purchases and sales of securities of the Companies while aware of material, nonpublic information concerning the Companies does not apply to a transaction pursuant to a Trading Plan as defined under Section 3(C) below.</w:t>
      </w:r>
    </w:p>
    <w:p>
      <w:pPr>
        <w:spacing w:after="0" w:line="162" w:lineRule="exact"/>
        <w:rPr>
          <w:sz w:val="20"/>
          <w:szCs w:val="20"/>
          <w:color w:val="auto"/>
        </w:rPr>
      </w:pPr>
    </w:p>
    <w:p>
      <w:pPr>
        <w:ind w:left="1220" w:hanging="482"/>
        <w:spacing w:after="0"/>
        <w:tabs>
          <w:tab w:leader="none" w:pos="12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to the Company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580" w:firstLine="945"/>
        <w:spacing w:after="0" w:line="284" w:lineRule="auto"/>
        <w:rPr>
          <w:sz w:val="20"/>
          <w:szCs w:val="20"/>
          <w:color w:val="auto"/>
        </w:rPr>
      </w:pPr>
      <w:r>
        <w:rPr>
          <w:rFonts w:ascii="Times New Roman" w:cs="Times New Roman" w:eastAsia="Times New Roman" w:hAnsi="Times New Roman"/>
          <w:sz w:val="22"/>
          <w:szCs w:val="22"/>
          <w:color w:val="auto"/>
        </w:rPr>
        <w:t>Purchases or sales of securities of the Company by the Company shall be made in compliance with applicable securities laws.</w:t>
      </w:r>
    </w:p>
    <w:p>
      <w:pPr>
        <w:spacing w:after="0" w:line="200" w:lineRule="exact"/>
        <w:rPr>
          <w:sz w:val="20"/>
          <w:szCs w:val="20"/>
          <w:color w:val="auto"/>
        </w:rPr>
      </w:pPr>
    </w:p>
    <w:p>
      <w:pPr>
        <w:spacing w:after="0" w:line="214" w:lineRule="exact"/>
        <w:rPr>
          <w:sz w:val="20"/>
          <w:szCs w:val="20"/>
          <w:color w:val="auto"/>
        </w:rPr>
      </w:pPr>
    </w:p>
    <w:p>
      <w:pPr>
        <w:ind w:left="700" w:right="4480" w:hanging="682"/>
        <w:spacing w:after="0" w:line="473" w:lineRule="auto"/>
        <w:tabs>
          <w:tab w:leader="none" w:pos="67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TRADING DURING BLACKOUT PERIODS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20" w:right="120" w:firstLine="673"/>
        <w:spacing w:after="0" w:line="255" w:lineRule="auto"/>
        <w:rPr>
          <w:sz w:val="20"/>
          <w:szCs w:val="20"/>
          <w:color w:val="auto"/>
        </w:rPr>
      </w:pPr>
      <w:r>
        <w:rPr>
          <w:rFonts w:ascii="Times New Roman" w:cs="Times New Roman" w:eastAsia="Times New Roman" w:hAnsi="Times New Roman"/>
          <w:sz w:val="22"/>
          <w:szCs w:val="22"/>
          <w:color w:val="auto"/>
        </w:rPr>
        <w:t>This Section 3 applies to (a) all employees, officers and directors of the Companies, (b) all family members who share the same address as, or are financially dependent on, such persons, and</w:t>
      </w:r>
    </w:p>
    <w:p>
      <w:pPr>
        <w:spacing w:after="0" w:line="1" w:lineRule="exact"/>
        <w:rPr>
          <w:sz w:val="20"/>
          <w:szCs w:val="20"/>
          <w:color w:val="auto"/>
        </w:rPr>
      </w:pPr>
    </w:p>
    <w:p>
      <w:pPr>
        <w:ind w:left="320" w:hanging="302"/>
        <w:spacing w:after="0"/>
        <w:tabs>
          <w:tab w:leader="none" w:pos="3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corporations, partnerships, trusts or other entities owned or controlled by any of the persons listed above in (a) and (b).</w:t>
      </w:r>
    </w:p>
    <w:p>
      <w:pPr>
        <w:spacing w:after="0" w:line="209" w:lineRule="exact"/>
        <w:rPr>
          <w:rFonts w:ascii="Times New Roman" w:cs="Times New Roman" w:eastAsia="Times New Roman" w:hAnsi="Times New Roman"/>
          <w:sz w:val="21"/>
          <w:szCs w:val="21"/>
          <w:color w:val="auto"/>
        </w:rPr>
      </w:pPr>
    </w:p>
    <w:p>
      <w:pPr>
        <w:ind w:left="5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3</w:t>
      </w:r>
    </w:p>
    <w:p>
      <w:pPr>
        <w:sectPr>
          <w:pgSz w:w="11900" w:h="16838" w:orient="portrait"/>
          <w:cols w:equalWidth="0" w:num="1">
            <w:col w:w="11040"/>
          </w:cols>
          <w:pgMar w:left="400" w:top="1440" w:right="45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hanging="608"/>
        <w:spacing w:after="0"/>
        <w:tabs>
          <w:tab w:leader="none" w:pos="12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320" w:firstLine="673"/>
        <w:spacing w:after="0" w:line="281" w:lineRule="auto"/>
        <w:rPr>
          <w:sz w:val="20"/>
          <w:szCs w:val="20"/>
          <w:color w:val="auto"/>
        </w:rPr>
      </w:pPr>
      <w:r>
        <w:rPr>
          <w:rFonts w:ascii="Times New Roman" w:cs="Times New Roman" w:eastAsia="Times New Roman" w:hAnsi="Times New Roman"/>
          <w:sz w:val="22"/>
          <w:szCs w:val="22"/>
          <w:color w:val="auto"/>
        </w:rPr>
        <w:t>No person covered by this Section 3 may purchase or sell any securities of the Companies during the following time periods (each a “Blackout Period”):</w:t>
      </w:r>
    </w:p>
    <w:p>
      <w:pPr>
        <w:spacing w:after="0" w:line="2" w:lineRule="exact"/>
        <w:rPr>
          <w:sz w:val="20"/>
          <w:szCs w:val="20"/>
          <w:color w:val="auto"/>
        </w:rPr>
      </w:pPr>
    </w:p>
    <w:p>
      <w:pPr>
        <w:jc w:val="both"/>
        <w:ind w:left="1300" w:hanging="629"/>
        <w:spacing w:after="0" w:line="251" w:lineRule="auto"/>
        <w:tabs>
          <w:tab w:leader="none" w:pos="129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Beginning the last day of the third calendar month of each fiscal quarter until the close of business on the first full trading day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the financial results of H2O America's operations for such quarter are publicly announced. As an example, the blackout period for the first fiscal quarter begins March 31. It prohibits transactions in the securities of the Companies that day and continuing until after the market has had one full business day to review the financial results whenever those results have been released by H2O America. If H2O America announces the financial results on Friday, trading cannot resume until Tuesday morning.</w:t>
      </w:r>
    </w:p>
    <w:p>
      <w:pPr>
        <w:spacing w:after="0" w:line="208" w:lineRule="exact"/>
        <w:rPr>
          <w:rFonts w:ascii="Times New Roman" w:cs="Times New Roman" w:eastAsia="Times New Roman" w:hAnsi="Times New Roman"/>
          <w:sz w:val="22"/>
          <w:szCs w:val="22"/>
          <w:color w:val="auto"/>
        </w:rPr>
      </w:pPr>
    </w:p>
    <w:p>
      <w:pPr>
        <w:jc w:val="both"/>
        <w:ind w:left="1300" w:hanging="629"/>
        <w:spacing w:after="0" w:line="263" w:lineRule="auto"/>
        <w:tabs>
          <w:tab w:leader="none" w:pos="129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other periods as may be established from time to time by the Board of Directors, the Chief Executive Officer, the Chief Financial Officer or the Corporate Secretaries of H2O America in light of particular events or developments affecting the Companies.</w:t>
      </w:r>
    </w:p>
    <w:p>
      <w:pPr>
        <w:spacing w:after="0" w:line="194" w:lineRule="exact"/>
        <w:rPr>
          <w:rFonts w:ascii="Times New Roman" w:cs="Times New Roman" w:eastAsia="Times New Roman" w:hAnsi="Times New Roman"/>
          <w:sz w:val="22"/>
          <w:szCs w:val="22"/>
          <w:color w:val="auto"/>
        </w:rPr>
      </w:pPr>
    </w:p>
    <w:p>
      <w:pPr>
        <w:ind w:left="1300" w:right="460" w:hanging="600"/>
        <w:spacing w:after="0" w:line="257" w:lineRule="auto"/>
        <w:tabs>
          <w:tab w:leader="none" w:pos="1297"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director or officer who has terminated their services during any Blackout Period shall continue to be subject to such Blackout Period until its expiration. See also Section 8 below regarding post-termination application of this Policy.</w:t>
      </w:r>
    </w:p>
    <w:p>
      <w:pPr>
        <w:spacing w:after="0" w:line="172" w:lineRule="exact"/>
        <w:rPr>
          <w:rFonts w:ascii="Times New Roman" w:cs="Times New Roman" w:eastAsia="Times New Roman" w:hAnsi="Times New Roman"/>
          <w:sz w:val="22"/>
          <w:szCs w:val="22"/>
          <w:color w:val="auto"/>
        </w:rPr>
      </w:pPr>
    </w:p>
    <w:p>
      <w:pPr>
        <w:ind w:left="1280" w:hanging="608"/>
        <w:spacing w:after="0"/>
        <w:tabs>
          <w:tab w:leader="none" w:pos="12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Exceptions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The securities laws do not recognize any mitigating circumstances, and, in any event, even the appearance of an improper transaction must be avoided to preserve the Companies’ reputation for adhering to the highest standards of conduct.</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The prohibitions on purchases or sales of securities of the Companies during Blackout Periods </w:t>
      </w:r>
      <w:r>
        <w:rPr>
          <w:rFonts w:ascii="Times New Roman" w:cs="Times New Roman" w:eastAsia="Times New Roman" w:hAnsi="Times New Roman"/>
          <w:sz w:val="22"/>
          <w:szCs w:val="22"/>
          <w:u w:val="single" w:color="auto"/>
          <w:color w:val="auto"/>
        </w:rPr>
        <w:t>do not apply to</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300" w:hanging="629"/>
        <w:spacing w:after="0" w:line="284" w:lineRule="auto"/>
        <w:tabs>
          <w:tab w:leader="none" w:pos="129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Purchases made under an employee stock purchase plan operated by H2O America;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securities so acquired may not be sold during a Blackout Period;</w:t>
      </w:r>
    </w:p>
    <w:p>
      <w:pPr>
        <w:spacing w:after="0" w:line="170" w:lineRule="exact"/>
        <w:rPr>
          <w:rFonts w:ascii="Times New Roman" w:cs="Times New Roman" w:eastAsia="Times New Roman" w:hAnsi="Times New Roman"/>
          <w:sz w:val="22"/>
          <w:szCs w:val="22"/>
          <w:color w:val="auto"/>
        </w:rPr>
      </w:pPr>
    </w:p>
    <w:p>
      <w:pPr>
        <w:ind w:left="1300" w:hanging="629"/>
        <w:spacing w:after="0" w:line="271" w:lineRule="auto"/>
        <w:tabs>
          <w:tab w:leader="none" w:pos="129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securities so acquired may not be sold (either outright or in connection with a “cashless” exercise transaction through a broker) during a Blackout Period;</w:t>
      </w:r>
    </w:p>
    <w:p>
      <w:pPr>
        <w:spacing w:after="0" w:line="184" w:lineRule="exact"/>
        <w:rPr>
          <w:rFonts w:ascii="Times New Roman" w:cs="Times New Roman" w:eastAsia="Times New Roman" w:hAnsi="Times New Roman"/>
          <w:sz w:val="22"/>
          <w:szCs w:val="22"/>
          <w:color w:val="auto"/>
        </w:rPr>
      </w:pPr>
    </w:p>
    <w:p>
      <w:pPr>
        <w:ind w:left="1280" w:hanging="608"/>
        <w:spacing w:after="0"/>
        <w:tabs>
          <w:tab w:leader="none" w:pos="12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specifically approved in advance by the Corporate Secretaries;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40"/>
          </w:cols>
          <w:pgMar w:left="420" w:top="1440" w:right="439" w:bottom="1440" w:gutter="0" w:footer="0" w:header="0"/>
        </w:sectPr>
      </w:pPr>
    </w:p>
    <w:bookmarkStart w:id="128" w:name="page129"/>
    <w:bookmarkEnd w:id="128"/>
    <w:p>
      <w:pPr>
        <w:jc w:val="both"/>
        <w:spacing w:after="0" w:line="24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t xml:space="preserve">Any surrender of shares by stockholders to H2O America to satisfy tax withholding obligations as a result of the issuance of shares upon vesting of restricted stock units or other equity awards granted under the equity incentive plans of H2O America. Note that this exception </w:t>
      </w:r>
      <w:r>
        <w:rPr>
          <w:rFonts w:ascii="Times New Roman" w:cs="Times New Roman" w:eastAsia="Times New Roman" w:hAnsi="Times New Roman"/>
          <w:sz w:val="22"/>
          <w:szCs w:val="22"/>
          <w:i w:val="1"/>
          <w:iCs w:val="1"/>
          <w:color w:val="auto"/>
        </w:rPr>
        <w:t>does not</w:t>
      </w:r>
      <w:r>
        <w:rPr>
          <w:rFonts w:ascii="Times New Roman" w:cs="Times New Roman" w:eastAsia="Times New Roman" w:hAnsi="Times New Roman"/>
          <w:sz w:val="22"/>
          <w:szCs w:val="22"/>
          <w:color w:val="auto"/>
        </w:rPr>
        <w:t xml:space="preserve"> include a subsequent sale of the shares by the stockholders acquired upon vesting of restricted stock units granted under such plans;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7" w:right="339" w:bottom="1440" w:gutter="0" w:footer="0" w:header="0"/>
        </w:sectPr>
      </w:pPr>
    </w:p>
    <w:bookmarkStart w:id="129" w:name="page130"/>
    <w:bookmarkEnd w:id="12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jc w:val="both"/>
        <w:ind w:left="1400" w:right="100" w:hanging="629"/>
        <w:spacing w:after="0" w:line="249" w:lineRule="auto"/>
        <w:tabs>
          <w:tab w:leader="none" w:pos="139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Purchases or sales made pursuant to a binding contract, written plan or specific instruction (a “Trading Plan”) which is adopted and operated in compliance with Rule 10b5-1 under the Exchange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Trading Plan or any material amendment to such Trading Plan: (1) is in writing, (2) was submitted to the Corporate Secretaries of H2O America for review and clearance prior to its adoption,</w:t>
      </w:r>
    </w:p>
    <w:p>
      <w:pPr>
        <w:jc w:val="both"/>
        <w:ind w:left="1400" w:right="10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was not adopted during a Blackout Period or while aware of any material nonpublic information concerning the Companies, and (4) complies fully with the provisions of this Policy and applicable rules and regulations of the SEC.</w:t>
      </w:r>
    </w:p>
    <w:p>
      <w:pPr>
        <w:spacing w:after="0" w:line="205" w:lineRule="exact"/>
        <w:rPr>
          <w:sz w:val="20"/>
          <w:szCs w:val="20"/>
          <w:color w:val="auto"/>
        </w:rPr>
      </w:pPr>
    </w:p>
    <w:p>
      <w:pPr>
        <w:jc w:val="both"/>
        <w:ind w:left="1400" w:right="100"/>
        <w:spacing w:after="0" w:line="247" w:lineRule="auto"/>
        <w:rPr>
          <w:sz w:val="20"/>
          <w:szCs w:val="20"/>
          <w:color w:val="auto"/>
        </w:rPr>
      </w:pPr>
      <w:r>
        <w:rPr>
          <w:rFonts w:ascii="Times New Roman" w:cs="Times New Roman" w:eastAsia="Times New Roman" w:hAnsi="Times New Roman"/>
          <w:sz w:val="22"/>
          <w:szCs w:val="22"/>
          <w:color w:val="auto"/>
        </w:rPr>
        <w:t>Please note that SEC regulations, and this Policy, require that a person entering into a Trading Plan must enter into the plan in good faith and not as part of a plan or scheme to evade the insider trading rules. For example, a person’s decision to terminate or amend a Trading Plan while the person is aware of material non-public information may indicate the absence of good faith or presence of a scheme to evade. In addition to constituting a violation of this Policy, such an absence of good faith or presence of a scheme to evade would eliminate the Trading Plan exception for prior transactions under the Trading Plan, which could cause those transactions to violate insider trading laws. Under certain circumstances, a Trading Plan must be terminated. This includes circumstances such as the announcement of a merger or the occurrence of an event that would cause the transaction either to violate the law or to have an adverse effect on the Companies. The Corporate Secretaries are authorized to notify the broker in such circumstances, thereby insulating the insider in the event of termination. Amendments to plans call into question as to whether the Trading Plan was initially executed in good faith and increase the risk of a loss of affirmative defense afforded under Rule 10b5-1. Accordingly, any amendment of Trading Plan will not be permitted unless it has been pre-cleared by the Corporate Secretaries. Furthermore, please note that an amendment of a Trading Plan may require the reinstatement of a new cooling-off periods as required under SEC rules. Any Trading Plan must be delivered promptly to the Corporate Secretaries.</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In addition, the following guidelines shall apply to Trading Plans:</w:t>
      </w:r>
    </w:p>
    <w:p>
      <w:pPr>
        <w:spacing w:after="0" w:line="247" w:lineRule="exact"/>
        <w:rPr>
          <w:sz w:val="20"/>
          <w:szCs w:val="20"/>
          <w:color w:val="auto"/>
        </w:rPr>
      </w:pPr>
    </w:p>
    <w:p>
      <w:pPr>
        <w:ind w:left="1780" w:hanging="466"/>
        <w:spacing w:after="0"/>
        <w:tabs>
          <w:tab w:leader="none" w:pos="17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Trading Plans must have a duration of at least six months and no more than two years.</w:t>
      </w:r>
    </w:p>
    <w:p>
      <w:pPr>
        <w:spacing w:after="0" w:line="2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For executive officers and directors, no transaction may take place under a Trading Plan until the later of (a) 90 days after adoption or modification (as specified in Rule 10b5-1) of the Trading Plan or (b) two business days following the disclosure of the Company’s financial results in a Form 10-Q or Form 10-K for the fiscal quarter (the Company’s fourth fiscal quarter in the case of a Form 10-K) in which the Trading Plan was adopted or modified (as specified in Rule 10b5-1). In any event, the cooling-off period is subject to a maximum of 120 days after adoption of the plan.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ind w:left="1800" w:hanging="486"/>
        <w:spacing w:after="0" w:line="271" w:lineRule="auto"/>
        <w:tabs>
          <w:tab w:leader="none" w:pos="179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persons other than executive officers and directors, no transaction may take place under a Trading Plan until 30 days following the adoption or modification (as specified in Rule 10b5-1) of a Trading Plan.</w:t>
      </w:r>
    </w:p>
    <w:p>
      <w:pPr>
        <w:spacing w:after="0" w:line="184" w:lineRule="exact"/>
        <w:rPr>
          <w:rFonts w:ascii="Times New Roman" w:cs="Times New Roman" w:eastAsia="Times New Roman" w:hAnsi="Times New Roman"/>
          <w:sz w:val="22"/>
          <w:szCs w:val="22"/>
          <w:color w:val="auto"/>
        </w:rPr>
      </w:pPr>
    </w:p>
    <w:p>
      <w:pPr>
        <w:jc w:val="both"/>
        <w:ind w:left="1800" w:right="20" w:hanging="486"/>
        <w:spacing w:after="0" w:line="263" w:lineRule="auto"/>
        <w:tabs>
          <w:tab w:leader="none" w:pos="18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limited exceptions specified in Rule 10b5-1, you are limited to only one Trading Plan designed to effect an open market purchase or sale of the total amount of securities subject to the Trading Plan as a single transaction in any 12-month period.</w:t>
      </w:r>
    </w:p>
    <w:p>
      <w:pPr>
        <w:spacing w:after="0" w:line="194" w:lineRule="exact"/>
        <w:rPr>
          <w:rFonts w:ascii="Times New Roman" w:cs="Times New Roman" w:eastAsia="Times New Roman" w:hAnsi="Times New Roman"/>
          <w:sz w:val="22"/>
          <w:szCs w:val="22"/>
          <w:color w:val="auto"/>
        </w:rPr>
      </w:pPr>
    </w:p>
    <w:p>
      <w:pPr>
        <w:jc w:val="both"/>
        <w:ind w:left="1800" w:hanging="486"/>
        <w:spacing w:after="0" w:line="256" w:lineRule="auto"/>
        <w:tabs>
          <w:tab w:leader="none" w:pos="178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officers and directors must include a representation to the Company at the time of adoption or modification of Trading Plan that (i) the person is not aware of material nonpublic information about the Companies or its securities and (ii) the person is adopting the plan in good faith and not as part of plan or scheme to evade the prohibitions of Rule 10b-5.</w:t>
      </w:r>
    </w:p>
    <w:p>
      <w:pPr>
        <w:spacing w:after="0" w:line="203" w:lineRule="exact"/>
        <w:rPr>
          <w:sz w:val="20"/>
          <w:szCs w:val="20"/>
          <w:color w:val="auto"/>
        </w:rPr>
      </w:pPr>
    </w:p>
    <w:p>
      <w:pPr>
        <w:jc w:val="both"/>
        <w:ind w:left="1400"/>
        <w:spacing w:after="0" w:line="256" w:lineRule="auto"/>
        <w:rPr>
          <w:sz w:val="20"/>
          <w:szCs w:val="20"/>
          <w:color w:val="auto"/>
        </w:rPr>
      </w:pPr>
      <w:r>
        <w:rPr>
          <w:rFonts w:ascii="Times New Roman" w:cs="Times New Roman" w:eastAsia="Times New Roman" w:hAnsi="Times New Roman"/>
          <w:sz w:val="22"/>
          <w:szCs w:val="22"/>
          <w:color w:val="auto"/>
        </w:rPr>
        <w:t>The Company and its executive officers and directors must make certain disclosures in SEC filings concerning Trading Plans. Executive officers and directors of the Company must undertake to provide any information requested by the Company regarding Trading Plans for the purpose of providing the required disclosures or any other disclosures that the Company deems to be appropriate under the circumstances.</w:t>
      </w:r>
    </w:p>
    <w:p>
      <w:pPr>
        <w:spacing w:after="0" w:line="176" w:lineRule="exact"/>
        <w:rPr>
          <w:sz w:val="20"/>
          <w:szCs w:val="20"/>
          <w:color w:val="auto"/>
        </w:rPr>
      </w:pPr>
    </w:p>
    <w:p>
      <w:pPr>
        <w:jc w:val="both"/>
        <w:ind w:left="1400"/>
        <w:spacing w:after="0" w:line="253" w:lineRule="auto"/>
        <w:rPr>
          <w:sz w:val="20"/>
          <w:szCs w:val="20"/>
          <w:color w:val="auto"/>
        </w:rPr>
      </w:pPr>
      <w:r>
        <w:rPr>
          <w:rFonts w:ascii="Times New Roman" w:cs="Times New Roman" w:eastAsia="Times New Roman" w:hAnsi="Times New Roman"/>
          <w:sz w:val="22"/>
          <w:szCs w:val="22"/>
          <w:color w:val="auto"/>
        </w:rPr>
        <w:t>Each director, executive officer, and officer designated for purposes of Section 16 of the Exchange Act (collectively, the “Covered Directors and Officers”)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Trading Plan.</w:t>
      </w:r>
    </w:p>
    <w:p>
      <w:pPr>
        <w:spacing w:after="0" w:line="200" w:lineRule="exact"/>
        <w:rPr>
          <w:sz w:val="20"/>
          <w:szCs w:val="20"/>
          <w:color w:val="auto"/>
        </w:rPr>
      </w:pPr>
    </w:p>
    <w:p>
      <w:pPr>
        <w:spacing w:after="0" w:line="222" w:lineRule="exact"/>
        <w:rPr>
          <w:sz w:val="20"/>
          <w:szCs w:val="20"/>
          <w:color w:val="auto"/>
        </w:rPr>
      </w:pPr>
    </w:p>
    <w:p>
      <w:pPr>
        <w:ind w:left="780" w:right="6220" w:hanging="682"/>
        <w:spacing w:after="0" w:line="473" w:lineRule="auto"/>
        <w:tabs>
          <w:tab w:leader="none" w:pos="76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SECURITIES TRANSACTIONS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100" w:firstLine="673"/>
        <w:spacing w:after="0" w:line="256" w:lineRule="auto"/>
        <w:rPr>
          <w:sz w:val="20"/>
          <w:szCs w:val="20"/>
          <w:color w:val="auto"/>
        </w:rPr>
      </w:pPr>
      <w:r>
        <w:rPr>
          <w:rFonts w:ascii="Times New Roman" w:cs="Times New Roman" w:eastAsia="Times New Roman" w:hAnsi="Times New Roman"/>
          <w:sz w:val="22"/>
          <w:szCs w:val="22"/>
          <w:color w:val="auto"/>
        </w:rPr>
        <w:t>This Section 4 applies to (a) all employees who have access to material information regarding the Companies, and all officers and directors of the Companies, (b) all family members who share the same address as, or are financially dependent on, such persons, and (c) all corporations, partnerships, trusts or other entities owned or controlled by any of the persons listed above in (a) and (b).</w:t>
      </w:r>
    </w:p>
    <w:p>
      <w:pPr>
        <w:spacing w:after="0" w:line="203" w:lineRule="exact"/>
        <w:rPr>
          <w:sz w:val="20"/>
          <w:szCs w:val="20"/>
          <w:color w:val="auto"/>
        </w:rPr>
      </w:pPr>
    </w:p>
    <w:p>
      <w:pPr>
        <w:ind w:left="1380" w:hanging="608"/>
        <w:spacing w:after="0"/>
        <w:tabs>
          <w:tab w:leader="none" w:pos="13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Procedural Requirements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2"/>
          <w:szCs w:val="22"/>
          <w:color w:val="auto"/>
        </w:rPr>
        <w:t>The following procedures must be followed by the persons covered by this Section 4 (the “Restricted Persons”) with respect to any purchase, sale or other transfer of H2O America stock:</w:t>
      </w: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1440" w:right="439" w:bottom="1440" w:gutter="0" w:footer="0" w:header="0"/>
        </w:sectPr>
      </w:pPr>
    </w:p>
    <w:bookmarkStart w:id="131" w:name="page132"/>
    <w:bookmarkEnd w:id="131"/>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jc w:val="both"/>
        <w:ind w:left="1400" w:hanging="629"/>
        <w:spacing w:after="0" w:line="251" w:lineRule="auto"/>
        <w:tabs>
          <w:tab w:leader="none" w:pos="13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persons must inform the Corporate Secretaries whenever they intend to execute a purchase, sale or other transfer of </w:t>
      </w:r>
      <w:r>
        <w:rPr>
          <w:rFonts w:ascii="Times New Roman" w:cs="Times New Roman" w:eastAsia="Times New Roman" w:hAnsi="Times New Roman"/>
          <w:sz w:val="19"/>
          <w:szCs w:val="19"/>
          <w:color w:val="auto"/>
        </w:rPr>
        <w:t>H2O America</w:t>
      </w:r>
      <w:r>
        <w:rPr>
          <w:rFonts w:ascii="Times New Roman" w:cs="Times New Roman" w:eastAsia="Times New Roman" w:hAnsi="Times New Roman"/>
          <w:sz w:val="22"/>
          <w:szCs w:val="22"/>
          <w:color w:val="auto"/>
        </w:rPr>
        <w:t xml:space="preserve"> securities, including the placing of limit orders. There may be times when there exists a corporate basis for requesting that Restricted Persons refrain from trading in the securities of the Companies even though such trading would otherwise be permissible. In order to comply with this restriction, all purchases, sales and other transfers of securities of the Companies by Restricted Persons shall be cleared in writing beforehand with the Corporate Secretaries.</w:t>
      </w:r>
    </w:p>
    <w:p>
      <w:pPr>
        <w:spacing w:after="0" w:line="208" w:lineRule="exact"/>
        <w:rPr>
          <w:rFonts w:ascii="Times New Roman" w:cs="Times New Roman" w:eastAsia="Times New Roman" w:hAnsi="Times New Roman"/>
          <w:sz w:val="22"/>
          <w:szCs w:val="22"/>
          <w:color w:val="auto"/>
        </w:rPr>
      </w:pPr>
    </w:p>
    <w:p>
      <w:pPr>
        <w:jc w:val="both"/>
        <w:ind w:left="1400" w:hanging="629"/>
        <w:spacing w:after="0" w:line="253" w:lineRule="auto"/>
        <w:tabs>
          <w:tab w:leader="none" w:pos="139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purchase, sale or other transfer of securities of the Companies, the Restricted Persons will be responsible for verifying that H2O America has not imposed any restrictions on their ability to engage in trades. If the individual has not completed the transfer within five (5) business days of notification of the intention to transfer, then the individual must reconfirm with the Corporate Secretaries that they intend to execute a transfer and the individual must reverify the nonexistence of any restrictions on such transfer.</w:t>
      </w:r>
    </w:p>
    <w:p>
      <w:pPr>
        <w:spacing w:after="0" w:line="205" w:lineRule="exact"/>
        <w:rPr>
          <w:rFonts w:ascii="Times New Roman" w:cs="Times New Roman" w:eastAsia="Times New Roman" w:hAnsi="Times New Roman"/>
          <w:sz w:val="22"/>
          <w:szCs w:val="22"/>
          <w:color w:val="auto"/>
        </w:rPr>
      </w:pPr>
    </w:p>
    <w:p>
      <w:pPr>
        <w:jc w:val="both"/>
        <w:ind w:left="1400" w:hanging="629"/>
        <w:spacing w:after="0" w:line="250" w:lineRule="auto"/>
        <w:tabs>
          <w:tab w:leader="none" w:pos="13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Persons must also notify the Corporate Secretaries of the occurrence of any purchase, sale or other acquisition or disposition or transfer of securities of the Companies as soon as possible following the transaction, but in any event within one business day after the transaction. This notification, which must be in writing or via e-mail, should describe the type of transaction that occurred (an open market purchase, a privately negotiated sale, gift or family related transfers, an option exercise, etc.), the date of the transaction, the number of shares covered by the transaction, the purchase or sale price (if applicable), and identify who effected the transaction. For purposes of this Section 4, a purchase, sale or other acquisition or disposition or transfer shall be deemed to occur at the time the person becomes irrevocably committed to it. In the case of an open market purchase or sale, this occurs when the trade is executed (not when it settles).</w:t>
      </w:r>
    </w:p>
    <w:p>
      <w:pPr>
        <w:spacing w:after="0" w:line="207" w:lineRule="exact"/>
        <w:rPr>
          <w:sz w:val="20"/>
          <w:szCs w:val="20"/>
          <w:color w:val="auto"/>
        </w:rPr>
      </w:pPr>
    </w:p>
    <w:p>
      <w:pPr>
        <w:ind w:left="780" w:right="5440" w:hanging="682"/>
        <w:spacing w:after="0" w:line="473" w:lineRule="auto"/>
        <w:tabs>
          <w:tab w:leader="none" w:pos="75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PROHIBITIONS ON TRADING ACTIVITIES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100" w:firstLine="673"/>
        <w:spacing w:after="0" w:line="255" w:lineRule="auto"/>
        <w:rPr>
          <w:sz w:val="20"/>
          <w:szCs w:val="20"/>
          <w:color w:val="auto"/>
        </w:rPr>
      </w:pPr>
      <w:r>
        <w:rPr>
          <w:rFonts w:ascii="Times New Roman" w:cs="Times New Roman" w:eastAsia="Times New Roman" w:hAnsi="Times New Roman"/>
          <w:sz w:val="22"/>
          <w:szCs w:val="22"/>
          <w:color w:val="auto"/>
        </w:rPr>
        <w:t>This Section 5 applies to: (a) all employees designated from time to time by the Board of Directors, Chief Executive Officer, Chief Financial Officer or Corporate Secretaries of H2O America as being subject to this Section 5, (b) all directors of the Companies; (c) all officers of H2O America;</w:t>
      </w:r>
    </w:p>
    <w:p>
      <w:pPr>
        <w:spacing w:after="0" w:line="1" w:lineRule="exact"/>
        <w:rPr>
          <w:sz w:val="20"/>
          <w:szCs w:val="20"/>
          <w:color w:val="auto"/>
        </w:rPr>
      </w:pPr>
    </w:p>
    <w:p>
      <w:pPr>
        <w:jc w:val="both"/>
        <w:ind w:left="100" w:hanging="2"/>
        <w:spacing w:after="0" w:line="245" w:lineRule="auto"/>
        <w:tabs>
          <w:tab w:leader="none" w:pos="41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the persons covered by subpart (b) and (c) above who share the same address as, or are financially dependent on, the directors of the Companies and officers of H2O America; and (e) all corporations, partnerships, trusts or other entities owned or controlled by any of the above persons.</w:t>
      </w:r>
    </w:p>
    <w:p>
      <w:pPr>
        <w:spacing w:after="0" w:line="213" w:lineRule="exact"/>
        <w:rPr>
          <w:rFonts w:ascii="Times New Roman" w:cs="Times New Roman" w:eastAsia="Times New Roman" w:hAnsi="Times New Roman"/>
          <w:sz w:val="22"/>
          <w:szCs w:val="22"/>
          <w:color w:val="auto"/>
        </w:rPr>
      </w:pPr>
    </w:p>
    <w:p>
      <w:pPr>
        <w:ind w:left="1380" w:hanging="608"/>
        <w:spacing w:after="0"/>
        <w:tabs>
          <w:tab w:leader="none" w:pos="138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Prohibitions</w:t>
      </w:r>
      <w:r>
        <w:rPr>
          <w:rFonts w:ascii="Times New Roman" w:cs="Times New Roman" w:eastAsia="Times New Roman" w:hAnsi="Times New Roman"/>
          <w:sz w:val="22"/>
          <w:szCs w:val="22"/>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person covered by this Section 5 may engage in any of the following types of transactions:</w:t>
      </w: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1440" w:right="4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spacing w:after="0" w:line="254" w:lineRule="exact"/>
        <w:rPr>
          <w:sz w:val="20"/>
          <w:szCs w:val="20"/>
          <w:color w:val="auto"/>
        </w:rPr>
      </w:pPr>
    </w:p>
    <w:p>
      <w:pPr>
        <w:ind w:left="1140" w:hanging="312"/>
        <w:spacing w:after="0"/>
        <w:tabs>
          <w:tab w:leader="none" w:pos="11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securities of the Companies, including short sales “against the box”;</w:t>
      </w:r>
    </w:p>
    <w:p>
      <w:pPr>
        <w:spacing w:after="0" w:line="246" w:lineRule="exact"/>
        <w:rPr>
          <w:rFonts w:ascii="Times New Roman" w:cs="Times New Roman" w:eastAsia="Times New Roman" w:hAnsi="Times New Roman"/>
          <w:sz w:val="22"/>
          <w:szCs w:val="22"/>
          <w:color w:val="auto"/>
        </w:rPr>
      </w:pPr>
    </w:p>
    <w:p>
      <w:pPr>
        <w:jc w:val="both"/>
        <w:ind w:left="1160" w:right="100" w:hanging="332"/>
        <w:spacing w:after="0" w:line="250" w:lineRule="auto"/>
        <w:tabs>
          <w:tab w:leader="none" w:pos="115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or monetization transactions and purchases or sales of puts or calls for speculative purposes. Hedging or monetization transactions can be accomplished through a number of possible mechanisms, including through the use of financial instruments such as prepaid variable forward agreements, equity swaps, collars and exchange funds. These hedging and monetization transactions allow an owner of securities to lock in much of the value of their stock holdings, often in exchange for all or part of the potential for upside appreciation in the stock. These transactions allow the owner to continue to own the covered securities, but without the full risks and rewards of ownership. When that occurs, the interests of the owners and the interests of the Companies and their stockholders may be misaligned and may signal a message to the trading market that may not be in the best interests of the Companies and their stockholders at the time it is conveyed;</w:t>
      </w:r>
    </w:p>
    <w:p>
      <w:pPr>
        <w:spacing w:after="0" w:line="206" w:lineRule="exact"/>
        <w:rPr>
          <w:rFonts w:ascii="Times New Roman" w:cs="Times New Roman" w:eastAsia="Times New Roman" w:hAnsi="Times New Roman"/>
          <w:sz w:val="22"/>
          <w:szCs w:val="22"/>
          <w:color w:val="auto"/>
        </w:rPr>
      </w:pPr>
    </w:p>
    <w:p>
      <w:pPr>
        <w:ind w:left="1140" w:hanging="312"/>
        <w:spacing w:after="0"/>
        <w:tabs>
          <w:tab w:leader="none" w:pos="11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of securities of the Companies or holding securities of the Companies in margin accounts; or</w:t>
      </w:r>
    </w:p>
    <w:p>
      <w:pPr>
        <w:spacing w:after="0" w:line="246" w:lineRule="exact"/>
        <w:rPr>
          <w:rFonts w:ascii="Times New Roman" w:cs="Times New Roman" w:eastAsia="Times New Roman" w:hAnsi="Times New Roman"/>
          <w:sz w:val="22"/>
          <w:szCs w:val="22"/>
          <w:color w:val="auto"/>
        </w:rPr>
      </w:pPr>
    </w:p>
    <w:p>
      <w:pPr>
        <w:ind w:left="1140" w:hanging="312"/>
        <w:spacing w:after="0"/>
        <w:tabs>
          <w:tab w:leader="none" w:pos="11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of a speculative nature at any time.</w:t>
      </w:r>
    </w:p>
    <w:p>
      <w:pPr>
        <w:spacing w:after="0" w:line="247" w:lineRule="exact"/>
        <w:rPr>
          <w:sz w:val="20"/>
          <w:szCs w:val="20"/>
          <w:color w:val="auto"/>
        </w:rPr>
      </w:pPr>
    </w:p>
    <w:p>
      <w:pPr>
        <w:jc w:val="both"/>
        <w:ind w:left="100" w:right="100" w:firstLine="673"/>
        <w:spacing w:after="0" w:line="251" w:lineRule="auto"/>
        <w:rPr>
          <w:sz w:val="20"/>
          <w:szCs w:val="20"/>
          <w:color w:val="auto"/>
        </w:rPr>
      </w:pPr>
      <w:r>
        <w:rPr>
          <w:rFonts w:ascii="Times New Roman" w:cs="Times New Roman" w:eastAsia="Times New Roman" w:hAnsi="Times New Roman"/>
          <w:sz w:val="22"/>
          <w:szCs w:val="22"/>
          <w:color w:val="auto"/>
        </w:rPr>
        <w:t>Securities held in a margin account or pledged as collateral for a loan may be sold without a person’s consent by the broker if such person fails to meet a margin call or by the lender in foreclosure if such person defaults on the loan. A margin or foreclosure sale that occurs when a person is aware of material nonpublic information or otherwise is not permitted to trade in securities of the Companies may, under some circumstances, result in unlawful insider trading. Because of this danger, holding securities of the Companies in a margin account or pledging securities of the Companies as collateral for a loan is prohibited hereunder.</w:t>
      </w:r>
    </w:p>
    <w:p>
      <w:pPr>
        <w:spacing w:after="0" w:line="208" w:lineRule="exact"/>
        <w:rPr>
          <w:sz w:val="20"/>
          <w:szCs w:val="20"/>
          <w:color w:val="auto"/>
        </w:rPr>
      </w:pPr>
    </w:p>
    <w:p>
      <w:pPr>
        <w:jc w:val="both"/>
        <w:ind w:left="100" w:right="100" w:firstLine="673"/>
        <w:spacing w:after="0" w:line="252" w:lineRule="auto"/>
        <w:rPr>
          <w:sz w:val="20"/>
          <w:szCs w:val="20"/>
          <w:color w:val="auto"/>
        </w:rPr>
      </w:pPr>
      <w:r>
        <w:rPr>
          <w:rFonts w:ascii="Times New Roman" w:cs="Times New Roman" w:eastAsia="Times New Roman" w:hAnsi="Times New Roman"/>
          <w:sz w:val="22"/>
          <w:szCs w:val="22"/>
          <w:color w:val="auto"/>
        </w:rPr>
        <w:t>The Covered Directors and Officers of H2O America must also comply with the reporting obligations and limitations on short-swing transactions set forth in Section 16 of the Exchange Act. The practical effect of these provisions is that directors and executive officers of H2O America who purchase and sell stock of H2O America within a six-month period may be required to disgorge all profits to the H2O America regardless whether they are in possession of any material nonpublic information. Certain types of transactions, including many benefit plan transactions, are not subject to this short-swing liability rule, and directors and executive officer of H2O America should consult with the Corporate Secretaries if they have any questions regarding compliance with Section 16 and other related rules.</w:t>
      </w:r>
    </w:p>
    <w:p>
      <w:pPr>
        <w:spacing w:after="0" w:line="206" w:lineRule="exact"/>
        <w:rPr>
          <w:sz w:val="20"/>
          <w:szCs w:val="20"/>
          <w:color w:val="auto"/>
        </w:rPr>
      </w:pPr>
    </w:p>
    <w:p>
      <w:pPr>
        <w:ind w:left="740" w:hanging="642"/>
        <w:spacing w:after="0"/>
        <w:tabs>
          <w:tab w:leader="none" w:pos="7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DONATIONS OF SECURITIES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Donations of securities may be deemed to be sales under this Policy if such donations do not constitute bona fide gifts of securities. Whether a gift is truly bona fide will depend on the circumstances surrounding each gift. The more unrelated the donee is to the donor, the more likely the gift would be considered “bona fide”. For example, gifts to charities, churches and service organizations would be bona fide gifts. On the other hand, gifts to dependent children followed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308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ind w:left="2" w:right="240"/>
        <w:spacing w:after="0" w:line="271" w:lineRule="auto"/>
        <w:rPr>
          <w:sz w:val="20"/>
          <w:szCs w:val="20"/>
          <w:color w:val="auto"/>
        </w:rPr>
      </w:pPr>
      <w:r>
        <w:rPr>
          <w:rFonts w:ascii="Times New Roman" w:cs="Times New Roman" w:eastAsia="Times New Roman" w:hAnsi="Times New Roman"/>
          <w:sz w:val="22"/>
          <w:szCs w:val="22"/>
          <w:color w:val="auto"/>
        </w:rPr>
        <w:t>by a sale of the “gift” securities in close proximity to the time of the gift may imply some economic benefit to the donor and, therefore, make the gift non-bona fide.</w:t>
      </w:r>
    </w:p>
    <w:p>
      <w:pPr>
        <w:spacing w:after="0" w:line="185" w:lineRule="exact"/>
        <w:rPr>
          <w:sz w:val="20"/>
          <w:szCs w:val="20"/>
          <w:color w:val="auto"/>
        </w:rPr>
      </w:pPr>
    </w:p>
    <w:p>
      <w:pPr>
        <w:jc w:val="both"/>
        <w:ind w:left="2" w:firstLine="673"/>
        <w:spacing w:after="0" w:line="256" w:lineRule="auto"/>
        <w:rPr>
          <w:sz w:val="20"/>
          <w:szCs w:val="20"/>
          <w:color w:val="auto"/>
        </w:rPr>
      </w:pPr>
      <w:r>
        <w:rPr>
          <w:rFonts w:ascii="Times New Roman" w:cs="Times New Roman" w:eastAsia="Times New Roman" w:hAnsi="Times New Roman"/>
          <w:sz w:val="22"/>
          <w:szCs w:val="22"/>
          <w:color w:val="auto"/>
        </w:rPr>
        <w:t>In addition, please note that a gift transaction by a Covered Director and Officer is required to be reported on a Form 4 within two (2) business days of such transaction, therefore it is important that the Covered Director and Officer inform the Corporate Secretaries of any pending gift transaction as soon as possible following the transaction, but in any event within one business day after the transaction.</w:t>
      </w:r>
    </w:p>
    <w:p>
      <w:pPr>
        <w:spacing w:after="0" w:line="217" w:lineRule="exact"/>
        <w:rPr>
          <w:sz w:val="20"/>
          <w:szCs w:val="20"/>
          <w:color w:val="auto"/>
        </w:rPr>
      </w:pPr>
    </w:p>
    <w:p>
      <w:pPr>
        <w:jc w:val="both"/>
        <w:ind w:left="2" w:hanging="2"/>
        <w:spacing w:after="0" w:line="252" w:lineRule="auto"/>
        <w:tabs>
          <w:tab w:leader="none" w:pos="5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APPLICATION</w:t>
      </w:r>
      <w:r>
        <w:rPr>
          <w:rFonts w:ascii="Times New Roman" w:cs="Times New Roman" w:eastAsia="Times New Roman" w:hAnsi="Times New Roman"/>
          <w:sz w:val="22"/>
          <w:szCs w:val="22"/>
          <w:color w:val="auto"/>
        </w:rPr>
        <w:t>. This Policy continues to apply to transactions of securities of the Companies even after an employee has terminated their service or employment, if they are in possession of material nonpublic information when the termination occurs. In that event the employee may not trade in the securities of H2O America until such information has become public or is no longer material.</w:t>
      </w:r>
    </w:p>
    <w:p>
      <w:pPr>
        <w:spacing w:after="0" w:line="206" w:lineRule="exact"/>
        <w:rPr>
          <w:rFonts w:ascii="Times New Roman" w:cs="Times New Roman" w:eastAsia="Times New Roman" w:hAnsi="Times New Roman"/>
          <w:sz w:val="22"/>
          <w:szCs w:val="22"/>
          <w:color w:val="auto"/>
        </w:rPr>
      </w:pPr>
    </w:p>
    <w:p>
      <w:pPr>
        <w:ind w:left="642" w:hanging="642"/>
        <w:spacing w:after="0"/>
        <w:tabs>
          <w:tab w:leader="none" w:pos="64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VIOLATION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64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consequences of insider trading violation can be staggering:</w:t>
      </w:r>
    </w:p>
    <w:p>
      <w:pPr>
        <w:spacing w:after="0" w:line="260" w:lineRule="exact"/>
        <w:rPr>
          <w:rFonts w:ascii="Times New Roman" w:cs="Times New Roman" w:eastAsia="Times New Roman" w:hAnsi="Times New Roman"/>
          <w:sz w:val="22"/>
          <w:szCs w:val="22"/>
          <w:color w:val="auto"/>
        </w:rPr>
      </w:pPr>
    </w:p>
    <w:p>
      <w:pPr>
        <w:ind w:left="962" w:hanging="314"/>
        <w:spacing w:after="0"/>
        <w:tabs>
          <w:tab w:leader="none" w:pos="96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individuals</w:t>
      </w:r>
      <w:r>
        <w:rPr>
          <w:rFonts w:ascii="Times New Roman" w:cs="Times New Roman" w:eastAsia="Times New Roman" w:hAnsi="Times New Roman"/>
          <w:sz w:val="22"/>
          <w:szCs w:val="22"/>
          <w:color w:val="auto"/>
        </w:rPr>
        <w:t xml:space="preserve"> who trade on inside information (or tip information to others) the consequences could include:</w:t>
      </w:r>
    </w:p>
    <w:p>
      <w:pPr>
        <w:spacing w:after="0" w:line="246" w:lineRule="exact"/>
        <w:rPr>
          <w:rFonts w:ascii="Times New Roman" w:cs="Times New Roman" w:eastAsia="Times New Roman" w:hAnsi="Times New Roman"/>
          <w:sz w:val="22"/>
          <w:szCs w:val="22"/>
          <w:color w:val="auto"/>
        </w:rPr>
      </w:pPr>
    </w:p>
    <w:p>
      <w:pPr>
        <w:ind w:left="1682" w:hanging="386"/>
        <w:spacing w:after="0"/>
        <w:tabs>
          <w:tab w:leader="none" w:pos="168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27" w:lineRule="exact"/>
        <w:rPr>
          <w:rFonts w:ascii="Times New Roman" w:cs="Times New Roman" w:eastAsia="Times New Roman" w:hAnsi="Times New Roman"/>
          <w:sz w:val="22"/>
          <w:szCs w:val="22"/>
          <w:color w:val="auto"/>
        </w:rPr>
      </w:pPr>
    </w:p>
    <w:p>
      <w:pPr>
        <w:ind w:left="1582" w:hanging="286"/>
        <w:spacing w:after="0"/>
        <w:tabs>
          <w:tab w:leader="none" w:pos="158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(no matter how small the profit) of up to $5 million; and</w:t>
      </w:r>
    </w:p>
    <w:p>
      <w:pPr>
        <w:spacing w:after="0" w:line="3" w:lineRule="exact"/>
        <w:rPr>
          <w:rFonts w:ascii="Times New Roman" w:cs="Times New Roman" w:eastAsia="Times New Roman" w:hAnsi="Times New Roman"/>
          <w:sz w:val="22"/>
          <w:szCs w:val="22"/>
          <w:color w:val="auto"/>
        </w:rPr>
      </w:pPr>
    </w:p>
    <w:p>
      <w:pPr>
        <w:ind w:left="1582" w:hanging="286"/>
        <w:spacing w:after="0"/>
        <w:tabs>
          <w:tab w:leader="none" w:pos="158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jail term of up to twenty years.</w:t>
      </w:r>
    </w:p>
    <w:p>
      <w:pPr>
        <w:spacing w:after="0" w:line="222" w:lineRule="exact"/>
        <w:rPr>
          <w:rFonts w:ascii="Times New Roman" w:cs="Times New Roman" w:eastAsia="Times New Roman" w:hAnsi="Times New Roman"/>
          <w:sz w:val="22"/>
          <w:szCs w:val="22"/>
          <w:color w:val="auto"/>
        </w:rPr>
      </w:pPr>
    </w:p>
    <w:p>
      <w:pPr>
        <w:ind w:left="2" w:right="120" w:firstLine="645"/>
        <w:spacing w:after="0" w:line="284" w:lineRule="auto"/>
        <w:tabs>
          <w:tab w:leader="none" w:pos="119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a company</w:t>
      </w:r>
      <w:r>
        <w:rPr>
          <w:rFonts w:ascii="Times New Roman" w:cs="Times New Roman" w:eastAsia="Times New Roman" w:hAnsi="Times New Roman"/>
          <w:sz w:val="22"/>
          <w:szCs w:val="22"/>
          <w:color w:val="auto"/>
        </w:rPr>
        <w:t xml:space="preserve"> (as well as possibly any supervisory person) that fails to take appropriates steps to prevent illegal trading the consequences could include:</w:t>
      </w:r>
    </w:p>
    <w:p>
      <w:pPr>
        <w:spacing w:after="0" w:line="170" w:lineRule="exact"/>
        <w:rPr>
          <w:rFonts w:ascii="Times New Roman" w:cs="Times New Roman" w:eastAsia="Times New Roman" w:hAnsi="Times New Roman"/>
          <w:sz w:val="22"/>
          <w:szCs w:val="22"/>
          <w:color w:val="auto"/>
        </w:rPr>
      </w:pPr>
    </w:p>
    <w:p>
      <w:pPr>
        <w:ind w:left="1702" w:right="180" w:hanging="407"/>
        <w:spacing w:after="0" w:line="254" w:lineRule="auto"/>
        <w:tabs>
          <w:tab w:leader="none" w:pos="1697"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the greater of $1 million or three times the profit gained or loss avoided as a result of the employee’s violation; and</w:t>
      </w:r>
    </w:p>
    <w:p>
      <w:pPr>
        <w:spacing w:after="0" w:line="1" w:lineRule="exact"/>
        <w:rPr>
          <w:rFonts w:ascii="Times New Roman" w:cs="Times New Roman" w:eastAsia="Times New Roman" w:hAnsi="Times New Roman"/>
          <w:sz w:val="22"/>
          <w:szCs w:val="22"/>
          <w:color w:val="auto"/>
        </w:rPr>
      </w:pPr>
    </w:p>
    <w:p>
      <w:pPr>
        <w:ind w:left="1702" w:hanging="406"/>
        <w:spacing w:after="0"/>
        <w:tabs>
          <w:tab w:leader="none" w:pos="170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penalty of up to $25 million.</w:t>
      </w:r>
    </w:p>
    <w:p>
      <w:pPr>
        <w:spacing w:after="0" w:line="223" w:lineRule="exact"/>
        <w:rPr>
          <w:sz w:val="20"/>
          <w:szCs w:val="20"/>
          <w:color w:val="auto"/>
        </w:rPr>
      </w:pPr>
    </w:p>
    <w:p>
      <w:pPr>
        <w:jc w:val="both"/>
        <w:ind w:left="2" w:firstLine="673"/>
        <w:spacing w:after="0" w:line="263" w:lineRule="auto"/>
        <w:rPr>
          <w:sz w:val="20"/>
          <w:szCs w:val="20"/>
          <w:color w:val="auto"/>
        </w:rPr>
      </w:pPr>
      <w:r>
        <w:rPr>
          <w:rFonts w:ascii="Times New Roman" w:cs="Times New Roman" w:eastAsia="Times New Roman" w:hAnsi="Times New Roman"/>
          <w:sz w:val="22"/>
          <w:szCs w:val="22"/>
          <w:color w:val="auto"/>
        </w:rPr>
        <w:t>Without regard to the penalties that may be imposed by others, violation of any of the foregoing rules is grounds for disciplinary action by the Companies, including without limitation employment termination, termination of contract and dismissal from the Board of Directors.</w:t>
      </w:r>
    </w:p>
    <w:p>
      <w:pPr>
        <w:spacing w:after="0" w:line="194" w:lineRule="exact"/>
        <w:rPr>
          <w:sz w:val="20"/>
          <w:szCs w:val="20"/>
          <w:color w:val="auto"/>
        </w:rPr>
      </w:pPr>
    </w:p>
    <w:p>
      <w:pPr>
        <w:ind w:left="642" w:hanging="642"/>
        <w:spacing w:after="0"/>
        <w:tabs>
          <w:tab w:leader="none" w:pos="64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ASSISTANCE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 w:firstLine="673"/>
        <w:spacing w:after="0" w:line="254" w:lineRule="auto"/>
        <w:rPr>
          <w:sz w:val="20"/>
          <w:szCs w:val="20"/>
          <w:color w:val="auto"/>
        </w:rPr>
      </w:pPr>
      <w:r>
        <w:rPr>
          <w:rFonts w:ascii="Times New Roman" w:cs="Times New Roman" w:eastAsia="Times New Roman" w:hAnsi="Times New Roman"/>
          <w:sz w:val="21"/>
          <w:szCs w:val="21"/>
          <w:color w:val="auto"/>
        </w:rPr>
        <w:t>H2O America has agreed to provide reasonable assistance to all Covered Directors and Officers of H2O America, as requested by such person, in connection with the filing of Forms 3, 4 and 5 with the SEC under Section 16(a) of the Exchange Act. However, the ultimate responsibility, and liability, for timely filing remains with the Covered Director and Officer.</w:t>
      </w:r>
    </w:p>
    <w:p>
      <w:pPr>
        <w:spacing w:after="0" w:line="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42"/>
          </w:cols>
          <w:pgMar w:left="418" w:top="1440" w:right="439" w:bottom="1440" w:gutter="0" w:footer="0" w:header="0"/>
        </w:sectPr>
      </w:pPr>
    </w:p>
    <w:bookmarkStart w:id="134" w:name="page135"/>
    <w:bookmarkEnd w:id="134"/>
    <w:p>
      <w:pPr>
        <w:spacing w:after="0" w:line="200" w:lineRule="exact"/>
        <w:rPr>
          <w:sz w:val="20"/>
          <w:szCs w:val="20"/>
          <w:color w:val="auto"/>
        </w:rPr>
      </w:pPr>
    </w:p>
    <w:p>
      <w:pPr>
        <w:spacing w:after="0" w:line="295"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21"/>
          <w:szCs w:val="21"/>
          <w:color w:val="auto"/>
        </w:rPr>
        <w:t>This amended Insider Trading Policy of the Companies is approved and adopted by the Board of Directors effective, February 25, 2026. It may be amended by a majority vote of the Board of Directors at any regular or special meeting of the Board.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ACKNOWLEDGMENT</w:t>
      </w:r>
    </w:p>
    <w:p>
      <w:pPr>
        <w:spacing w:after="0" w:line="2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Please sign the attachment acknowledging that you have read and agreed to abide by this Policy in your transaction in H2O America stock.</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All outside requests for information, comments or interviews (other than routine product inquires) which may result in the dissemination of information must be directed to the Corporate Secretaries.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any questions, please contact the Corporate Secretaries or the Chief Financial Officer of H2O America.</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20"/>
          </w:cols>
          <w:pgMar w:left="420" w:top="1440" w:right="45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H2O America</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Following is a list of the subsidiaries of H2O America as of December 31, 2025, each of which, unless otherwise indicated, is wholly owned by the Company either directly or through another subsidiary.</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52" w:lineRule="exact"/>
        <w:rPr>
          <w:sz w:val="20"/>
          <w:szCs w:val="20"/>
          <w:color w:val="auto"/>
        </w:rPr>
      </w:pPr>
    </w:p>
    <w:p>
      <w:pPr>
        <w:sectPr>
          <w:pgSz w:w="11900" w:h="16838" w:orient="portrait"/>
          <w:cols w:equalWidth="0" w:num="2">
            <w:col w:w="7140" w:space="720"/>
            <w:col w:w="3380"/>
          </w:cols>
          <w:pgMar w:left="320" w:top="1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H2O America Land Company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Jose Water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Chester Realty,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Connecticut Water Service,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Connecticut Water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England Water Utility Services,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H2O America NE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National Water Utility Service,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Maine Water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H2O America TX Holdings,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SJWTX, Inc., dba The Texas Water Company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Texas Water Operation Services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H2O America Risk 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Utah</w:t>
      </w:r>
    </w:p>
    <w:p>
      <w:pPr>
        <w:sectPr>
          <w:pgSz w:w="11900" w:h="16838" w:orient="portrait"/>
          <w:cols w:equalWidth="0" w:num="2">
            <w:col w:w="7140" w:space="720"/>
            <w:col w:w="3380"/>
          </w:cols>
          <w:pgMar w:left="320" w:top="131" w:right="339" w:bottom="1440" w:gutter="0" w:footer="0" w:header="0"/>
          <w:type w:val="continuous"/>
        </w:sectPr>
      </w:pPr>
    </w:p>
    <w:bookmarkStart w:id="136" w:name="page137"/>
    <w:bookmarkEnd w:id="136"/>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333-282881 on Form S-3 and Registration Statement Nos. 333-234140, 333-105010, and 333-271448 on Form S-8 of our report dated February 26, 2026, relating to the 2025 financial statements of H2O America and the effectiveness of H2O America's internal control over financial reporting appearing in the Annual Report on Form 10-K for the year ended December 31,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ectPr>
          <w:pgSz w:w="11900" w:h="16838" w:orient="portrait"/>
          <w:cols w:equalWidth="0" w:num="1">
            <w:col w:w="11240"/>
          </w:cols>
          <w:pgMar w:left="320" w:top="144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44" w:lineRule="exact"/>
        <w:rPr>
          <w:sz w:val="20"/>
          <w:szCs w:val="20"/>
          <w:color w:val="auto"/>
        </w:rPr>
      </w:pPr>
    </w:p>
    <w:p>
      <w:pPr>
        <w:ind w:left="880" w:hanging="305"/>
        <w:spacing w:after="0"/>
        <w:tabs>
          <w:tab w:leader="none" w:pos="8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H2O America (the “registrant”);</w:t>
      </w:r>
    </w:p>
    <w:p>
      <w:pPr>
        <w:spacing w:after="0" w:line="157" w:lineRule="exact"/>
        <w:rPr>
          <w:rFonts w:ascii="Times New Roman" w:cs="Times New Roman" w:eastAsia="Times New Roman" w:hAnsi="Times New Roman"/>
          <w:sz w:val="18"/>
          <w:szCs w:val="18"/>
          <w:color w:val="auto"/>
        </w:rPr>
      </w:pPr>
    </w:p>
    <w:p>
      <w:pPr>
        <w:ind w:right="140" w:firstLine="575"/>
        <w:spacing w:after="0" w:line="266" w:lineRule="auto"/>
        <w:tabs>
          <w:tab w:leader="none" w:pos="8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120" w:firstLine="575"/>
        <w:spacing w:after="0" w:line="282" w:lineRule="auto"/>
        <w:tabs>
          <w:tab w:leader="none" w:pos="8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575"/>
        <w:spacing w:after="0" w:line="266" w:lineRule="auto"/>
        <w:tabs>
          <w:tab w:leader="none" w:pos="87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firstLine="1101"/>
        <w:spacing w:after="0" w:line="266" w:lineRule="auto"/>
        <w:tabs>
          <w:tab w:leader="none" w:pos="14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right="40" w:firstLine="1101"/>
        <w:spacing w:after="0" w:line="266" w:lineRule="auto"/>
        <w:tabs>
          <w:tab w:leader="none" w:pos="142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40" w:firstLine="1101"/>
        <w:spacing w:after="0" w:line="282" w:lineRule="auto"/>
        <w:tabs>
          <w:tab w:leader="none" w:pos="14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right="120" w:firstLine="1101"/>
        <w:spacing w:after="0" w:line="266" w:lineRule="auto"/>
        <w:tabs>
          <w:tab w:leader="none" w:pos="142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right="40" w:firstLine="575"/>
        <w:spacing w:after="0" w:line="282" w:lineRule="auto"/>
        <w:tabs>
          <w:tab w:leader="none" w:pos="87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right="380" w:firstLine="1101"/>
        <w:spacing w:after="0" w:line="282" w:lineRule="auto"/>
        <w:tabs>
          <w:tab w:leader="none" w:pos="14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right="60" w:firstLine="1101"/>
        <w:spacing w:after="0" w:line="282" w:lineRule="auto"/>
        <w:tabs>
          <w:tab w:leader="none" w:pos="142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F. WALTERS</w:t>
            </w:r>
          </w:p>
        </w:tc>
      </w:tr>
      <w:tr>
        <w:trPr>
          <w:trHeight w:val="218"/>
        </w:trPr>
        <w:tc>
          <w:tcPr>
            <w:tcW w:w="550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230"/>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tc>
      </w:tr>
      <w:tr>
        <w:trPr>
          <w:trHeight w:val="234"/>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P. Kelly, certify that:</w:t>
      </w:r>
    </w:p>
    <w:p>
      <w:pPr>
        <w:spacing w:after="0" w:line="144" w:lineRule="exact"/>
        <w:rPr>
          <w:sz w:val="20"/>
          <w:szCs w:val="20"/>
          <w:color w:val="auto"/>
        </w:rPr>
      </w:pPr>
    </w:p>
    <w:p>
      <w:pPr>
        <w:ind w:left="880" w:hanging="305"/>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H2O America (the “registrant”);</w:t>
      </w:r>
    </w:p>
    <w:p>
      <w:pPr>
        <w:spacing w:after="0" w:line="157" w:lineRule="exact"/>
        <w:rPr>
          <w:rFonts w:ascii="Times New Roman" w:cs="Times New Roman" w:eastAsia="Times New Roman" w:hAnsi="Times New Roman"/>
          <w:sz w:val="18"/>
          <w:szCs w:val="18"/>
          <w:color w:val="auto"/>
        </w:rPr>
      </w:pPr>
    </w:p>
    <w:p>
      <w:pPr>
        <w:ind w:right="140" w:firstLine="575"/>
        <w:spacing w:after="0" w:line="266" w:lineRule="auto"/>
        <w:tabs>
          <w:tab w:leader="none" w:pos="8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120" w:firstLine="575"/>
        <w:spacing w:after="0" w:line="282" w:lineRule="auto"/>
        <w:tabs>
          <w:tab w:leader="none" w:pos="8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575"/>
        <w:spacing w:after="0" w:line="266" w:lineRule="auto"/>
        <w:tabs>
          <w:tab w:leader="none" w:pos="8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firstLine="1101"/>
        <w:spacing w:after="0" w:line="266" w:lineRule="auto"/>
        <w:tabs>
          <w:tab w:leader="none" w:pos="141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right="40" w:firstLine="1101"/>
        <w:spacing w:after="0" w:line="266" w:lineRule="auto"/>
        <w:tabs>
          <w:tab w:leader="none" w:pos="142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40" w:firstLine="1101"/>
        <w:spacing w:after="0" w:line="282" w:lineRule="auto"/>
        <w:tabs>
          <w:tab w:leader="none" w:pos="141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right="120" w:firstLine="1101"/>
        <w:spacing w:after="0" w:line="266" w:lineRule="auto"/>
        <w:tabs>
          <w:tab w:leader="none" w:pos="142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right="40" w:firstLine="575"/>
        <w:spacing w:after="0" w:line="282" w:lineRule="auto"/>
        <w:tabs>
          <w:tab w:leader="none" w:pos="8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right="380" w:firstLine="1101"/>
        <w:spacing w:after="0" w:line="282" w:lineRule="auto"/>
        <w:tabs>
          <w:tab w:leader="none" w:pos="141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right="60" w:firstLine="1101"/>
        <w:spacing w:after="0" w:line="282" w:lineRule="auto"/>
        <w:tabs>
          <w:tab w:leader="none" w:pos="142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 P. KELLY</w:t>
            </w:r>
          </w:p>
        </w:tc>
      </w:tr>
      <w:tr>
        <w:trPr>
          <w:trHeight w:val="218"/>
        </w:trPr>
        <w:tc>
          <w:tcPr>
            <w:tcW w:w="550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P. Kelly</w:t>
            </w:r>
          </w:p>
        </w:tc>
      </w:tr>
      <w:tr>
        <w:trPr>
          <w:trHeight w:val="229"/>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280" w:firstLine="567"/>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H2O America (the “Company”) on Form 10-K for the year ended December 31, 2025, as filed with the Securities and Exchange Commission on the date hereof (the “Report”), I, Andrew F. Walters, Chief Executive Officer and Chair of the Board, certify, pursuant to 18 U.S.C. Section 1350, as adopted pursuant to Section 906 of the Sarbanes-Oxley Act of 2002, that to my knowledge on the date hereof:</w:t>
      </w:r>
    </w:p>
    <w:p>
      <w:pPr>
        <w:spacing w:after="0" w:line="50"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88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jc w:val="both"/>
        <w:ind w:right="280" w:firstLine="567"/>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H2O America (the “Company”) on Form 10-K for the year ended December 31, 2025, as filed with the Securities and Exchange Commission on the date hereof (the “Report”), I, Ann P. Kelly, Chief Financial Officer and Treasurer of the Company, certify, pursuant to 18 U.S.C. Section 1350, as adopted pursuant to Section 906 of the Sarbanes-Oxley Act of 2002, that to my knowledge on the date hereof:</w:t>
      </w:r>
    </w:p>
    <w:p>
      <w:pPr>
        <w:spacing w:after="0" w:line="50"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P. Kelly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bullet"/>
      <w:start w:val="1"/>
    </w:lvl>
  </w:abstractNum>
  <w:abstractNum w:abstractNumId="21">
    <w:nsid w:val="23F9C13C"/>
    <w:multiLevelType w:val="hybridMultilevel"/>
    <w:lvl w:ilvl="0">
      <w:lvlJc w:val="left"/>
      <w:lvlText w:val="(%1)"/>
      <w:numFmt w:val="decimal"/>
      <w:start w:val="3"/>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lowerLetter"/>
      <w:start w:val="1"/>
    </w:lvl>
  </w:abstractNum>
  <w:abstractNum w:abstractNumId="26">
    <w:nsid w:val="180115BE"/>
    <w:multiLevelType w:val="hybridMultilevel"/>
    <w:lvl w:ilvl="0">
      <w:lvlJc w:val="left"/>
      <w:lvlText w:val="(%1)"/>
      <w:numFmt w:val="lowerLetter"/>
      <w:start w:val="14"/>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decimal"/>
      <w:start w:val="104"/>
    </w:lvl>
    <w:lvl w:ilvl="1">
      <w:lvlJc w:val="left"/>
      <w:lvlText w:val="(%2)"/>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4"/>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3"/>
    </w:lvl>
    <w:lvl w:ilvl="1">
      <w:lvlJc w:val="left"/>
      <w:lvlText w:val="(%2)"/>
      <w:numFmt w:val="lowerLetter"/>
      <w:start w:val="1"/>
    </w:lvl>
  </w:abstractNum>
  <w:abstractNum w:abstractNumId="37">
    <w:nsid w:val="77AE35EB"/>
    <w:multiLevelType w:val="hybridMultilevel"/>
    <w:lvl w:ilvl="0">
      <w:lvlJc w:val="left"/>
      <w:lvlText w:val="%1."/>
      <w:numFmt w:val="upperLetter"/>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2"/>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43">
    <w:nsid w:val="1DBABF00"/>
    <w:multiLevelType w:val="hybridMultilevel"/>
    <w:lvl w:ilvl="0">
      <w:lvlJc w:val="left"/>
      <w:lvlText w:val="%1"/>
      <w:numFmt w:val="decimal"/>
      <w:start w:val="1"/>
    </w:lvl>
    <w:lvl w:ilvl="1">
      <w:lvlJc w:val="left"/>
      <w:lvlText w:val="%2."/>
      <w:numFmt w:val="upperLetter"/>
      <w:start w:val="3"/>
    </w:lvl>
  </w:abstractNum>
  <w:abstractNum w:abstractNumId="44">
    <w:nsid w:val="4AD084E9"/>
    <w:multiLevelType w:val="hybridMultilevel"/>
    <w:lvl w:ilvl="0">
      <w:lvlJc w:val="left"/>
      <w:lvlText w:val="%1."/>
      <w:numFmt w:val="decimal"/>
      <w:start w:val="6"/>
    </w:lvl>
    <w:lvl w:ilvl="1">
      <w:lvlJc w:val="left"/>
      <w:lvlText w:val="%2"/>
      <w:numFmt w:val="upperLetter"/>
      <w:start w:val="1"/>
    </w:lvl>
  </w:abstractNum>
  <w:abstractNum w:abstractNumId="45">
    <w:nsid w:val="1F48EAA1"/>
    <w:multiLevelType w:val="hybridMultilevel"/>
    <w:lvl w:ilvl="0">
      <w:lvlJc w:val="left"/>
      <w:lvlText w:val="%1."/>
      <w:numFmt w:val="decimal"/>
      <w:start w:val="7"/>
    </w:lvl>
    <w:lvl w:ilvl="1">
      <w:lvlJc w:val="left"/>
      <w:lvlText w:val="%2."/>
      <w:numFmt w:val="upperLetter"/>
      <w:start w:val="1"/>
    </w:lvl>
  </w:abstractNum>
  <w:abstractNum w:abstractNumId="46">
    <w:nsid w:val="1381823A"/>
    <w:multiLevelType w:val="hybridMultilevel"/>
    <w:lvl w:ilvl="0">
      <w:lvlJc w:val="left"/>
      <w:lvlText w:val="%1."/>
      <w:numFmt w:val="decimal"/>
      <w:start w:val="9"/>
    </w:lvl>
    <w:lvl w:ilvl="1">
      <w:lvlJc w:val="left"/>
      <w:lvlText w:val="%2."/>
      <w:numFmt w:val="upperLetter"/>
      <w:start w:val="1"/>
    </w:lvl>
  </w:abstractNum>
  <w:abstractNum w:abstractNumId="47">
    <w:nsid w:val="5DB70AE5"/>
    <w:multiLevelType w:val="hybridMultilevel"/>
    <w:lvl w:ilvl="0">
      <w:lvlJc w:val="left"/>
      <w:lvlText w:val="%1."/>
      <w:numFmt w:val="decimal"/>
      <w:start w:val="15"/>
    </w:lvl>
  </w:abstractNum>
  <w:abstractNum w:abstractNumId="48">
    <w:nsid w:val="100F8FCA"/>
    <w:multiLevelType w:val="hybridMultilevel"/>
    <w:lvl w:ilvl="0">
      <w:lvlJc w:val="left"/>
      <w:lvlText w:val="%1."/>
      <w:numFmt w:val="upperLetter"/>
      <w:start w:val="1"/>
    </w:lvl>
    <w:lvl w:ilvl="1">
      <w:lvlJc w:val="left"/>
      <w:lvlText w:val="(%2)"/>
      <w:numFmt w:val="lowerRoman"/>
      <w:start w:val="1"/>
    </w:lvl>
  </w:abstractNum>
  <w:abstractNum w:abstractNumId="49">
    <w:nsid w:val="6590700B"/>
    <w:multiLevelType w:val="hybridMultilevel"/>
    <w:lvl w:ilvl="0">
      <w:lvlJc w:val="left"/>
      <w:lvlText w:val="%1."/>
      <w:numFmt w:val="upperLetter"/>
      <w:start w:val="6"/>
    </w:lvl>
    <w:lvl w:ilvl="1">
      <w:lvlJc w:val="left"/>
      <w:lvlText w:val="(%2)"/>
      <w:numFmt w:val="lowerRoman"/>
      <w:start w:val="1"/>
    </w:lvl>
  </w:abstractNum>
  <w:abstractNum w:abstractNumId="50">
    <w:nsid w:val="15014ACB"/>
    <w:multiLevelType w:val="hybridMultilevel"/>
    <w:lvl w:ilvl="0">
      <w:lvlJc w:val="left"/>
      <w:lvlText w:val="%1."/>
      <w:numFmt w:val="upperLetter"/>
      <w:start w:val="12"/>
    </w:lvl>
    <w:lvl w:ilvl="1">
      <w:lvlJc w:val="left"/>
      <w:lvlText w:val="(%2)"/>
      <w:numFmt w:val="lowerRoman"/>
      <w:start w:val="1"/>
    </w:lvl>
  </w:abstractNum>
  <w:abstractNum w:abstractNumId="51">
    <w:nsid w:val="5F5E7FD0"/>
    <w:multiLevelType w:val="hybridMultilevel"/>
    <w:lvl w:ilvl="0">
      <w:lvlJc w:val="left"/>
      <w:lvlText w:val="%1"/>
      <w:numFmt w:val="decimal"/>
      <w:start w:val="1"/>
    </w:lvl>
    <w:lvl w:ilvl="1">
      <w:lvlJc w:val="left"/>
      <w:lvlText w:val="%2."/>
      <w:numFmt w:val="upperLetter"/>
      <w:start w:val="13"/>
    </w:lvl>
  </w:abstractNum>
  <w:abstractNum w:abstractNumId="52">
    <w:nsid w:val="98A3148"/>
    <w:multiLevelType w:val="hybridMultilevel"/>
    <w:lvl w:ilvl="0">
      <w:lvlJc w:val="left"/>
      <w:lvlText w:val="(%1)"/>
      <w:numFmt w:val="decimal"/>
      <w:start w:val="12"/>
    </w:lvl>
    <w:lvl w:ilvl="1">
      <w:lvlJc w:val="left"/>
      <w:lvlText w:val="%2"/>
      <w:numFmt w:val="upperLetter"/>
      <w:start w:val="1"/>
    </w:lvl>
  </w:abstractNum>
  <w:abstractNum w:abstractNumId="53">
    <w:nsid w:val="799D0247"/>
    <w:multiLevelType w:val="hybridMultilevel"/>
    <w:lvl w:ilvl="0">
      <w:lvlJc w:val="left"/>
      <w:lvlText w:val="%1"/>
      <w:numFmt w:val="lowerLetter"/>
      <w:start w:val="1"/>
    </w:lvl>
    <w:lvl w:ilvl="1">
      <w:lvlJc w:val="left"/>
      <w:lvlText w:val="%2."/>
      <w:numFmt w:val="upperLetter"/>
      <w:start w:val="19"/>
    </w:lvl>
  </w:abstractNum>
  <w:abstractNum w:abstractNumId="54">
    <w:nsid w:val="6B94764"/>
    <w:multiLevelType w:val="hybridMultilevel"/>
    <w:lvl w:ilvl="0">
      <w:lvlJc w:val="left"/>
      <w:lvlText w:val="(%1)"/>
      <w:numFmt w:val="lowerLetter"/>
      <w:start w:val="3"/>
    </w:lvl>
    <w:lvl w:ilvl="1">
      <w:lvlJc w:val="left"/>
      <w:lvlText w:val="%2."/>
      <w:numFmt w:val="upperLetter"/>
      <w:start w:val="24"/>
    </w:lvl>
  </w:abstractNum>
  <w:abstractNum w:abstractNumId="55">
    <w:nsid w:val="42C296BD"/>
    <w:multiLevelType w:val="hybridMultilevel"/>
    <w:lvl w:ilvl="0">
      <w:lvlJc w:val="left"/>
      <w:lvlText w:val="%1"/>
      <w:numFmt w:val="upperLetter"/>
      <w:start w:val="1"/>
    </w:lvl>
    <w:lvl w:ilvl="1">
      <w:lvlJc w:val="left"/>
      <w:lvlText w:val="(%2)"/>
      <w:numFmt w:val="lowerRoman"/>
      <w:start w:val="1"/>
    </w:lvl>
  </w:abstractNum>
  <w:abstractNum w:abstractNumId="56">
    <w:nsid w:val="168E121F"/>
    <w:multiLevelType w:val="hybridMultilevel"/>
    <w:lvl w:ilvl="0">
      <w:lvlJc w:val="left"/>
      <w:lvlText w:val="%1."/>
      <w:numFmt w:val="upperLetter"/>
      <w:start w:val="25"/>
    </w:lvl>
    <w:lvl w:ilvl="1">
      <w:lvlJc w:val="left"/>
      <w:lvlText w:val="%2"/>
      <w:numFmt w:val="lowerRoman"/>
      <w:start w:val="1"/>
    </w:lvl>
  </w:abstractNum>
  <w:abstractNum w:abstractNumId="57">
    <w:nsid w:val="1EBA5D23"/>
    <w:multiLevelType w:val="hybridMultilevel"/>
    <w:lvl w:ilvl="0">
      <w:lvlJc w:val="left"/>
      <w:lvlText w:val="%1."/>
      <w:numFmt w:val="upperLetter"/>
      <w:start w:val="27"/>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decimal"/>
      <w:start w:val="2"/>
    </w:lvl>
  </w:abstractNum>
  <w:abstractNum w:abstractNumId="61">
    <w:nsid w:val="7BD3EE7B"/>
    <w:multiLevelType w:val="hybridMultilevel"/>
    <w:lvl w:ilvl="0">
      <w:lvlJc w:val="left"/>
      <w:lvlText w:val="%1."/>
      <w:numFmt w:val="upperLetter"/>
      <w:start w:val="1"/>
    </w:lvl>
  </w:abstractNum>
  <w:abstractNum w:abstractNumId="62">
    <w:nsid w:val="51D9C564"/>
    <w:multiLevelType w:val="hybridMultilevel"/>
    <w:lvl w:ilvl="0">
      <w:lvlJc w:val="left"/>
      <w:lvlText w:val="%1."/>
      <w:numFmt w:val="upperLetter"/>
      <w:start w:val="2"/>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upperLetter"/>
      <w:start w:val="3"/>
    </w:lvl>
  </w:abstractNum>
  <w:abstractNum w:abstractNumId="66">
    <w:nsid w:val="42963E5A"/>
    <w:multiLevelType w:val="hybridMultilevel"/>
    <w:lvl w:ilvl="0">
      <w:lvlJc w:val="left"/>
      <w:lvlText w:val="%1."/>
      <w:numFmt w:val="upperLetter"/>
      <w:start w:val="4"/>
    </w:lvl>
  </w:abstractNum>
  <w:abstractNum w:abstractNumId="67">
    <w:nsid w:val="A0382C5"/>
    <w:multiLevelType w:val="hybridMultilevel"/>
    <w:lvl w:ilvl="0">
      <w:lvlJc w:val="left"/>
      <w:lvlText w:val="%1."/>
      <w:numFmt w:val="decimal"/>
      <w:start w:val="3"/>
    </w:lvl>
    <w:lvl w:ilvl="1">
      <w:lvlJc w:val="left"/>
      <w:lvlText w:val="%2"/>
      <w:numFmt w:val="upperLetter"/>
      <w:start w:val="1"/>
    </w:lvl>
  </w:abstractNum>
  <w:abstractNum w:abstractNumId="68">
    <w:nsid w:val="8F2B15E"/>
    <w:multiLevelType w:val="hybridMultilevel"/>
    <w:lvl w:ilvl="0">
      <w:lvlJc w:val="left"/>
      <w:lvlText w:val="(%1)"/>
      <w:numFmt w:val="lowerLetter"/>
      <w:start w:val="3"/>
    </w:lvl>
  </w:abstractNum>
  <w:abstractNum w:abstractNumId="69">
    <w:nsid w:val="1A32234B"/>
    <w:multiLevelType w:val="hybridMultilevel"/>
    <w:lvl w:ilvl="0">
      <w:lvlJc w:val="left"/>
      <w:lvlText w:val="%1."/>
      <w:numFmt w:val="upperLetter"/>
      <w:start w:val="2"/>
    </w:lvl>
  </w:abstractNum>
  <w:abstractNum w:abstractNumId="70">
    <w:nsid w:val="3B0FD379"/>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3"/>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4"/>
    </w:lvl>
  </w:abstractNum>
  <w:abstractNum w:abstractNumId="73">
    <w:nsid w:val="60B6DF70"/>
    <w:multiLevelType w:val="hybridMultilevel"/>
    <w:lvl w:ilvl="0">
      <w:lvlJc w:val="left"/>
      <w:lvlText w:val="(%1)"/>
      <w:numFmt w:val="lowerRoman"/>
      <w:start w:val="1"/>
    </w:lvl>
  </w:abstractNum>
  <w:abstractNum w:abstractNumId="74">
    <w:nsid w:val="6A5EE64"/>
    <w:multiLevelType w:val="hybridMultilevel"/>
    <w:lvl w:ilvl="0">
      <w:lvlJc w:val="left"/>
      <w:lvlText w:val="(%1)"/>
      <w:numFmt w:val="lowerRoman"/>
      <w:start w:val="2"/>
    </w:lvl>
  </w:abstractNum>
  <w:abstractNum w:abstractNumId="75">
    <w:nsid w:val="14330624"/>
    <w:multiLevelType w:val="hybridMultilevel"/>
    <w:lvl w:ilvl="0">
      <w:lvlJc w:val="left"/>
      <w:lvlText w:val="%1."/>
      <w:numFmt w:val="decimal"/>
      <w:start w:val="4"/>
    </w:lvl>
    <w:lvl w:ilvl="1">
      <w:lvlJc w:val="left"/>
      <w:lvlText w:val="%2"/>
      <w:numFmt w:val="upperLetter"/>
      <w:start w:val="1"/>
    </w:lvl>
  </w:abstractNum>
  <w:abstractNum w:abstractNumId="76">
    <w:nsid w:val="7FFFCA11"/>
    <w:multiLevelType w:val="hybridMultilevel"/>
    <w:lvl w:ilvl="0">
      <w:lvlJc w:val="left"/>
      <w:lvlText w:val="%1."/>
      <w:numFmt w:val="upperLetter"/>
      <w:start w:val="2"/>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decimal"/>
      <w:start w:val="5"/>
    </w:lvl>
    <w:lvl w:ilvl="1">
      <w:lvlJc w:val="left"/>
      <w:lvlText w:val="%2"/>
      <w:numFmt w:val="upperLetter"/>
      <w:start w:val="1"/>
    </w:lvl>
  </w:abstractNum>
  <w:abstractNum w:abstractNumId="79">
    <w:nsid w:val="100F59DC"/>
    <w:multiLevelType w:val="hybridMultilevel"/>
    <w:lvl w:ilvl="0">
      <w:lvlJc w:val="left"/>
      <w:lvlText w:val="(%1)"/>
      <w:numFmt w:val="lowerLetter"/>
      <w:start w:val="4"/>
    </w:lvl>
    <w:lvl w:ilvl="1">
      <w:lvlJc w:val="left"/>
      <w:lvlText w:val="%2."/>
      <w:numFmt w:val="upperLetter"/>
      <w:start w:val="2"/>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decimal"/>
      <w:start w:val="6"/>
    </w:lvl>
  </w:abstractNum>
  <w:abstractNum w:abstractNumId="82">
    <w:nsid w:val="6F6DD9AC"/>
    <w:multiLevelType w:val="hybridMultilevel"/>
    <w:lvl w:ilvl="0">
      <w:lvlJc w:val="left"/>
      <w:lvlText w:val="%1."/>
      <w:numFmt w:val="decimal"/>
      <w:start w:val="7"/>
    </w:lvl>
    <w:lvl w:ilvl="1">
      <w:lvlJc w:val="left"/>
      <w:lvlText w:val="%2."/>
      <w:numFmt w:val="upperLetter"/>
      <w:start w:val="1"/>
    </w:lvl>
    <w:lvl w:ilvl="2">
      <w:lvlJc w:val="left"/>
      <w:lvlText w:val="(%3)"/>
      <w:numFmt w:val="lowerLetter"/>
      <w:start w:val="1"/>
    </w:lvl>
  </w:abstractNum>
  <w:abstractNum w:abstractNumId="83">
    <w:nsid w:val="94211F2"/>
    <w:multiLevelType w:val="hybridMultilevel"/>
    <w:lvl w:ilvl="0">
      <w:lvlJc w:val="left"/>
      <w:lvlText w:val="%1."/>
      <w:numFmt w:val="decimal"/>
      <w:start w:val="9"/>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7" Type="http://schemas.openxmlformats.org/officeDocument/2006/relationships/image" Target="media/image117.png"/><Relationship Id="rId154" Type="http://schemas.openxmlformats.org/officeDocument/2006/relationships/image" Target="media/image118.png"/><Relationship Id="rId172" Type="http://schemas.openxmlformats.org/officeDocument/2006/relationships/image" Target="media/image119.png"/><Relationship Id="rId189" Type="http://schemas.openxmlformats.org/officeDocument/2006/relationships/image" Target="media/image120.png"/><Relationship Id="rId190" Type="http://schemas.openxmlformats.org/officeDocument/2006/relationships/image" Target="media/image121.png"/><Relationship Id="rId198" Type="http://schemas.openxmlformats.org/officeDocument/2006/relationships/image" Target="media/image122.png"/><Relationship Id="rId199" Type="http://schemas.openxmlformats.org/officeDocument/2006/relationships/image" Target="media/image123.png"/><Relationship Id="rId200" Type="http://schemas.openxmlformats.org/officeDocument/2006/relationships/image" Target="media/image124.png"/><Relationship Id="rId201" Type="http://schemas.openxmlformats.org/officeDocument/2006/relationships/image" Target="media/image125.png"/><Relationship Id="rId202" Type="http://schemas.openxmlformats.org/officeDocument/2006/relationships/image" Target="media/image126.png"/><Relationship Id="rId203" Type="http://schemas.openxmlformats.org/officeDocument/2006/relationships/image" Target="media/image127.png"/><Relationship Id="rId204" Type="http://schemas.openxmlformats.org/officeDocument/2006/relationships/image" Target="media/image128.png"/><Relationship Id="rId205"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png"/><Relationship Id="rId211" Type="http://schemas.openxmlformats.org/officeDocument/2006/relationships/image" Target="media/image135.png"/><Relationship Id="rId212" Type="http://schemas.openxmlformats.org/officeDocument/2006/relationships/image" Target="media/image136.png"/><Relationship Id="rId213" Type="http://schemas.openxmlformats.org/officeDocument/2006/relationships/image" Target="media/image137.png"/><Relationship Id="rId214" Type="http://schemas.openxmlformats.org/officeDocument/2006/relationships/image" Target="media/image138.jpeg"/><Relationship Id="rId215" Type="http://schemas.openxmlformats.org/officeDocument/2006/relationships/image" Target="media/image139.jpeg"/><Relationship Id="rId216" Type="http://schemas.openxmlformats.org/officeDocument/2006/relationships/image" Target="media/image140.jpeg"/><Relationship Id="rId217" Type="http://schemas.openxmlformats.org/officeDocument/2006/relationships/image" Target="media/image141.jpeg"/><Relationship Id="rId218" Type="http://schemas.openxmlformats.org/officeDocument/2006/relationships/image" Target="media/image142.jpeg"/><Relationship Id="rId219" Type="http://schemas.openxmlformats.org/officeDocument/2006/relationships/image" Target="media/image143.jpeg"/><Relationship Id="rId220" Type="http://schemas.openxmlformats.org/officeDocument/2006/relationships/image" Target="media/image144.jpeg"/><Relationship Id="rId221" Type="http://schemas.openxmlformats.org/officeDocument/2006/relationships/image" Target="media/image145.jpeg"/><Relationship Id="rId222" Type="http://schemas.openxmlformats.org/officeDocument/2006/relationships/image" Target="media/image146.jpeg"/><Relationship Id="rId223" Type="http://schemas.openxmlformats.org/officeDocument/2006/relationships/image" Target="media/image147.png"/><Relationship Id="rId224" Type="http://schemas.openxmlformats.org/officeDocument/2006/relationships/image" Target="media/image148.png"/><Relationship Id="rId124" Type="http://schemas.openxmlformats.org/officeDocument/2006/relationships/hyperlink" Target="https://www.sec.gov/Archives/edgar/data/766829/000076682925000048/exhibit31-amendmenttocerti.htm" TargetMode="External"/><Relationship Id="rId125" Type="http://schemas.openxmlformats.org/officeDocument/2006/relationships/hyperlink" Target="https://www.sec.gov/Archives/edgar/data/766829/000076682925000080/h2oamerica-63025xex32.htm#i886deb63a0494a7f84cc1b1f1e7e6115_1" TargetMode="External"/><Relationship Id="rId126" Type="http://schemas.openxmlformats.org/officeDocument/2006/relationships/hyperlink" Target="https://www.sec.gov/Archives/edgar/data/766829/000119312510181531/dex41.htm" TargetMode="External"/><Relationship Id="rId127" Type="http://schemas.openxmlformats.org/officeDocument/2006/relationships/hyperlink" Target="https://www.sec.gov/Archives/edgar/data/766829/000076682925000009/q4202410kexhibit45.htm" TargetMode="External"/><Relationship Id="rId128" Type="http://schemas.openxmlformats.org/officeDocument/2006/relationships/hyperlink" Target="https://www.sec.gov/Archives/edgar/data/766829/000095000502000295/p15065_ex10-1.txt" TargetMode="External"/><Relationship Id="rId129" Type="http://schemas.openxmlformats.org/officeDocument/2006/relationships/hyperlink" Target="https://www.sec.gov/Archives/edgar/data/766829/000076682925000092/h2o-amendedandrestatedcred.htm" TargetMode="External"/><Relationship Id="rId130" Type="http://schemas.openxmlformats.org/officeDocument/2006/relationships/hyperlink" Target="https://www.sec.gov/Archives/edgar/data/766829/000119312510181531/dex103.htm" TargetMode="External"/><Relationship Id="rId131" Type="http://schemas.openxmlformats.org/officeDocument/2006/relationships/hyperlink" Target="https://www.sec.gov/Archives/edgar/data/766829/000076682913000005/sjw2012q410kexhibit104.htm" TargetMode="External"/><Relationship Id="rId132" Type="http://schemas.openxmlformats.org/officeDocument/2006/relationships/hyperlink" Target="https://www.sec.gov/Archives/edgar/data/766829/000076682917000043/sjw2016q410kexhibit107.htm" TargetMode="External"/><Relationship Id="rId133" Type="http://schemas.openxmlformats.org/officeDocument/2006/relationships/hyperlink" Target="https://www.sec.gov/Archives/edgar/data/766829/000119312510181531/dex104.htm" TargetMode="External"/><Relationship Id="rId134" Type="http://schemas.openxmlformats.org/officeDocument/2006/relationships/hyperlink" Target="https://www.sec.gov/Archives/edgar/data/766829/000076682917000043/sjw2016q410kexhibit109.htm" TargetMode="External"/><Relationship Id="rId135" Type="http://schemas.openxmlformats.org/officeDocument/2006/relationships/hyperlink" Target="https://www.sec.gov/Archives/edgar/data/766829/000076682911000028/exhibit-10.3.txt" TargetMode="External"/><Relationship Id="rId136" Type="http://schemas.openxmlformats.org/officeDocument/2006/relationships/hyperlink" Target="https://www.sec.gov/Archives/edgar/data/766829/000076682914000003/exhibit-noteaseriesl.htm" TargetMode="External"/><Relationship Id="rId138" Type="http://schemas.openxmlformats.org/officeDocument/2006/relationships/hyperlink" Target="https://www.sec.gov/Archives/edgar/data/766829/000076682919000081/notepurchaseagreement.htm" TargetMode="External"/><Relationship Id="rId139" Type="http://schemas.openxmlformats.org/officeDocument/2006/relationships/hyperlink" Target="https://www.sec.gov/Archives/edgar/data/766829/000119312519265175/d804814dex101.htm" TargetMode="External"/><Relationship Id="rId140" Type="http://schemas.openxmlformats.org/officeDocument/2006/relationships/hyperlink" Target="https://www.sec.gov/Archives/edgar/data/766829/000076682912000007/a2011q410kexhibit1020sjw.htm" TargetMode="External"/><Relationship Id="rId141" Type="http://schemas.openxmlformats.org/officeDocument/2006/relationships/hyperlink" Target="https://www.sec.gov/Archives/edgar/data/766829/000076682917000043/sjw2016q410kexhibit1014.htm" TargetMode="External"/><Relationship Id="rId142" Type="http://schemas.openxmlformats.org/officeDocument/2006/relationships/hyperlink" Target="https://www.sec.gov/Archives/edgar/data/766829/000119312519265175/d804814dex105.htm" TargetMode="External"/><Relationship Id="rId143" Type="http://schemas.openxmlformats.org/officeDocument/2006/relationships/hyperlink" Target="https://www.sec.gov/Archives/edgar/data/766829/000076682912000007/a2011q410kexhibit1023sjw.htm" TargetMode="External"/><Relationship Id="rId144" Type="http://schemas.openxmlformats.org/officeDocument/2006/relationships/hyperlink" Target="https://www.sec.gov/Archives/edgar/data/766829/000076682914000012/sjw2013q410kexhibit1015.htm" TargetMode="External"/><Relationship Id="rId145" Type="http://schemas.openxmlformats.org/officeDocument/2006/relationships/hyperlink" Target="https://www.sec.gov/Archives/edgar/data/766829/000076682914000005/exhibit102.htm" TargetMode="External"/><Relationship Id="rId146" Type="http://schemas.openxmlformats.org/officeDocument/2006/relationships/hyperlink" Target="https://www.sec.gov/Archives/edgar/data/766829/000076682917000043/sjw2016q410kexhibit1018.htm" TargetMode="External"/><Relationship Id="rId147" Type="http://schemas.openxmlformats.org/officeDocument/2006/relationships/hyperlink" Target="https://www.sec.gov/Archives/edgar/data/766829/000076682917000109/sjw-93017xex105.htm" TargetMode="External"/><Relationship Id="rId148" Type="http://schemas.openxmlformats.org/officeDocument/2006/relationships/hyperlink" Target="https://www.sec.gov/Archives/edgar/data/766829/000076682919000063/a2018q410-kexhibit1021.htm" TargetMode="External"/><Relationship Id="rId149" Type="http://schemas.openxmlformats.org/officeDocument/2006/relationships/hyperlink" Target="https://www.sec.gov/Archives/edgar/data/766829/000119312519265175/d804814dex104.htm" TargetMode="External"/><Relationship Id="rId150" Type="http://schemas.openxmlformats.org/officeDocument/2006/relationships/hyperlink" Target="https://www.sec.gov/Archives/edgar/data/766829/000076682915000041/sjw-93015xex101.htm" TargetMode="External"/><Relationship Id="rId151" Type="http://schemas.openxmlformats.org/officeDocument/2006/relationships/hyperlink" Target="https://www.sec.gov/Archives/edgar/data/766829/000076682917000043/sjw2016q410kexhibit1021.htm" TargetMode="External"/><Relationship Id="rId152" Type="http://schemas.openxmlformats.org/officeDocument/2006/relationships/hyperlink" Target="https://www.sec.gov/Archives/edgar/data/766829/000076682920000149/exhibit101-sjw_secondamend.htm" TargetMode="External"/><Relationship Id="rId153" Type="http://schemas.openxmlformats.org/officeDocument/2006/relationships/hyperlink" Target="https://www.sec.gov/Archives/edgar/data/766829/000076682921000047/a2020q410kexhibit1031.htm" TargetMode="External"/><Relationship Id="rId155" Type="http://schemas.openxmlformats.org/officeDocument/2006/relationships/hyperlink" Target="https://www.sec.gov/Archives/edgar/data/766829/000076682917000109/sjw-930017xex103.htm" TargetMode="External"/><Relationship Id="rId156" Type="http://schemas.openxmlformats.org/officeDocument/2006/relationships/hyperlink" Target="https://www.sec.gov/Archives/edgar/data/766829/000076682920000022/exhibit101firstamendme.htm" TargetMode="External"/><Relationship Id="rId157" Type="http://schemas.openxmlformats.org/officeDocument/2006/relationships/hyperlink" Target="https://www.sec.gov/Archives/edgar/data/766829/000162828025046847/h2oamerica-93025xex102.htm" TargetMode="External"/><Relationship Id="rId158" Type="http://schemas.openxmlformats.org/officeDocument/2006/relationships/hyperlink" Target="https://www.sec.gov/Archives/edgar/data/766829/000119312522272453/d415988dex101.htm" TargetMode="External"/><Relationship Id="rId159" Type="http://schemas.openxmlformats.org/officeDocument/2006/relationships/hyperlink" Target="https://www.sec.gov/Archives/edgar/data/766829/000076682913000005/sjw2012q410kexhibit1036.htm" TargetMode="External"/><Relationship Id="rId160" Type="http://schemas.openxmlformats.org/officeDocument/2006/relationships/hyperlink" Target="https://www.sec.gov/Archives/edgar/data/766829/000076682917000043/sjw2016q410kexhibit1037.htm" TargetMode="External"/><Relationship Id="rId161" Type="http://schemas.openxmlformats.org/officeDocument/2006/relationships/hyperlink" Target="https://www.sec.gov/Archives/edgar/data/766829/000110465908031396/a08-13183_1ex10d1.htm" TargetMode="External"/><Relationship Id="rId162" Type="http://schemas.openxmlformats.org/officeDocument/2006/relationships/hyperlink" Target="https://www.sec.gov/Archives/edgar/data/766829/000076682917000043/sjw2016q410kexhibit1039.htm" TargetMode="External"/><Relationship Id="rId163" Type="http://schemas.openxmlformats.org/officeDocument/2006/relationships/hyperlink" Target="https://www.sec.gov/Archives/edgar/data/766829/000076682925000009/a2024q410kexhibit1036.htm" TargetMode="External"/><Relationship Id="rId164" Type="http://schemas.openxmlformats.org/officeDocument/2006/relationships/hyperlink" Target="https://www.sec.gov/Archives/edgar/data/766829/000076682917000091/sjw-q2x2017xex101.htm" TargetMode="External"/><Relationship Id="rId165" Type="http://schemas.openxmlformats.org/officeDocument/2006/relationships/hyperlink" Target="https://www.sec.gov/Archives/edgar/data/766829/000076682925000009/a2024q410kexhibit1038.htm" TargetMode="External"/><Relationship Id="rId166" Type="http://schemas.openxmlformats.org/officeDocument/2006/relationships/hyperlink" Target="https://www.sec.gov/Archives/edgar/data/766829/000076682917000043/sjw2016q410kexhibit1052.htm" TargetMode="External"/><Relationship Id="rId167" Type="http://schemas.openxmlformats.org/officeDocument/2006/relationships/hyperlink" Target="https://www.sec.gov/Archives/edgar/data/766829/000076682925000009/a2024q410kexhibit1040.htm" TargetMode="External"/><Relationship Id="rId168" Type="http://schemas.openxmlformats.org/officeDocument/2006/relationships/hyperlink" Target="https://www.sec.gov/Archives/edgar/data/766829/000076682916000106/exhibit101formofindemnific.htm" TargetMode="External"/><Relationship Id="rId169" Type="http://schemas.openxmlformats.org/officeDocument/2006/relationships/hyperlink" Target="https://www.sec.gov/Archives/edgar/data/766829/000076682921000047/a2020q410kexhibit1073.htm" TargetMode="External"/><Relationship Id="rId170" Type="http://schemas.openxmlformats.org/officeDocument/2006/relationships/hyperlink" Target="https://www.sec.gov/Archives/edgar/data/766829/000076682920000055/a1075-johnsonarserpagr.htm" TargetMode="External"/><Relationship Id="rId171" Type="http://schemas.openxmlformats.org/officeDocument/2006/relationships/hyperlink" Target="https://www.sec.gov/Archives/edgar/data/766829/000076682920000055/a1077-amendmenttoctwse.htm" TargetMode="External"/><Relationship Id="rId173" Type="http://schemas.openxmlformats.org/officeDocument/2006/relationships/hyperlink" Target="https://www.sec.gov/Archives/edgar/data/766829/000076682920000055/a1078-matrixgrantortru.htm" TargetMode="External"/><Relationship Id="rId174" Type="http://schemas.openxmlformats.org/officeDocument/2006/relationships/hyperlink" Target="https://www.sec.gov/Archives/edgar/data/766829/000076682921000047/a2020q410kexhibit1078.htm" TargetMode="External"/><Relationship Id="rId175" Type="http://schemas.openxmlformats.org/officeDocument/2006/relationships/hyperlink" Target="https://www.sec.gov/Archives/edgar/data/766829/000076682920000055/a1080-kjohnsonardeferr.htm" TargetMode="External"/><Relationship Id="rId176" Type="http://schemas.openxmlformats.org/officeDocument/2006/relationships/hyperlink" Target="https://www.sec.gov/Archives/edgar/data/766829/000076682920000055/a1082-firstamendmentto.htm" TargetMode="External"/><Relationship Id="rId177" Type="http://schemas.openxmlformats.org/officeDocument/2006/relationships/hyperlink" Target="https://www.sec.gov/Archives/edgar/data/766829/000076682920000055/a1086-2ndamendmenttoar.htm" TargetMode="External"/><Relationship Id="rId178" Type="http://schemas.openxmlformats.org/officeDocument/2006/relationships/hyperlink" Target="https://www.sec.gov/Archives/edgar/data/276209/000027620916000120/exhibit101-cwc2017dcp.htm" TargetMode="External"/><Relationship Id="rId179" Type="http://schemas.openxmlformats.org/officeDocument/2006/relationships/hyperlink" Target="https://www.sec.gov/Archives/edgar/data/766829/000076682920000055/a1089-firstamendmentto.htm" TargetMode="External"/><Relationship Id="rId180" Type="http://schemas.openxmlformats.org/officeDocument/2006/relationships/hyperlink" Target="https://www.sec.gov/Archives/edgar/data/766829/000076682920000055/a1090-secondamendmentt.htm" TargetMode="External"/><Relationship Id="rId181" Type="http://schemas.openxmlformats.org/officeDocument/2006/relationships/hyperlink" Target="https://www.sec.gov/Archives/edgar/data/766829/000076682921000103/sjw-63021xex102.htm" TargetMode="External"/><Relationship Id="rId182" Type="http://schemas.openxmlformats.org/officeDocument/2006/relationships/hyperlink" Target="https://www.sec.gov/Archives/edgar/data/766829/000076682920000055/a1094-johnsonxaremploy.htm" TargetMode="External"/><Relationship Id="rId183" Type="http://schemas.openxmlformats.org/officeDocument/2006/relationships/hyperlink" Target="https://www.sec.gov/Archives/edgar/data/276209/000027620913000013/exhibit1017.htm" TargetMode="External"/><Relationship Id="rId184" Type="http://schemas.openxmlformats.org/officeDocument/2006/relationships/hyperlink" Target="https://www.sec.gov/Archives/edgar/data/276209/000027620914000015/exhibit102-secondamendment.htm" TargetMode="External"/><Relationship Id="rId185" Type="http://schemas.openxmlformats.org/officeDocument/2006/relationships/hyperlink" Target="https://www.sec.gov/Archives/edgar/data/766829/000076682920000055/a1097-3rdarctwemployme.htm" TargetMode="External"/><Relationship Id="rId186" Type="http://schemas.openxmlformats.org/officeDocument/2006/relationships/hyperlink" Target="https://www.sec.gov/Archives/edgar/data/766829/000076682925000038/sjw-33125xex101.htm" TargetMode="External"/><Relationship Id="rId187" Type="http://schemas.openxmlformats.org/officeDocument/2006/relationships/hyperlink" Target="https://www.sec.gov/Archives/edgar/data/766829/000076682925000009/a2024q410kexhibit1060.htm" TargetMode="External"/><Relationship Id="rId188" Type="http://schemas.openxmlformats.org/officeDocument/2006/relationships/hyperlink" Target="https://www.sec.gov/Archives/edgar/data/766829/000076682923000041/a2022q410kexhibit1085.htm" TargetMode="External"/><Relationship Id="rId191" Type="http://schemas.openxmlformats.org/officeDocument/2006/relationships/hyperlink" Target="https://www.sec.gov/Archives/edgar/data/766829/000076682923000041/a2022q410kexhibit1086.htm" TargetMode="External"/><Relationship Id="rId192" Type="http://schemas.openxmlformats.org/officeDocument/2006/relationships/hyperlink" Target="https://www.sec.gov/Archives/edgar/data/766829/000076682923000041/a2022q410kexhibit1087.htm" TargetMode="External"/><Relationship Id="rId193" Type="http://schemas.openxmlformats.org/officeDocument/2006/relationships/hyperlink" Target="https://www.sec.gov/Archives/edgar/data/766829/000076682923000078/sjw-20230309.htm#i775dee0e94a54eccbfe0aa74057f056b_1649267443662" TargetMode="External"/><Relationship Id="rId194" Type="http://schemas.openxmlformats.org/officeDocument/2006/relationships/hyperlink" Target="https://www.sec.gov/Archives/edgar/data/766829/000076682923000078/sjw-20230309.htm#i775dee0e94a54eccbfe0aa74057f056b_1649267443678" TargetMode="External"/><Relationship Id="rId195" Type="http://schemas.openxmlformats.org/officeDocument/2006/relationships/hyperlink" Target="https://www.sec.gov/Archives/edgar/data/766829/000076682924000117/exhibit11equitydistributio.htm" TargetMode="External"/><Relationship Id="rId196" Type="http://schemas.openxmlformats.org/officeDocument/2006/relationships/hyperlink" Target="https://www.sec.gov/ix?doc=/Archives/edgar/data/0000766829/000110465925066289/tm2519459d1_8k.htm" TargetMode="External"/><Relationship Id="rId197" Type="http://schemas.openxmlformats.org/officeDocument/2006/relationships/hyperlink" Target="https://www.sec.gov/Archives/edgar/data/766829/000076682924000023/a2023q4exex971clawback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2026-02-26T17:16:37Z</dcterms:created>
  <dcterms:modified xsi:type="dcterms:W3CDTF">2026-02-26T17:16:37Z</dcterms:modified>
</cp:coreProperties>
</file>